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E36FC">
      <w:pPr>
        <w:jc w:val="center"/>
        <w:rPr>
          <w:rFonts w:hint="eastAsia" w:ascii="楷体" w:hAnsi="楷体" w:eastAsia="楷体" w:cs="Adobe 楷体 Std R"/>
          <w:b/>
          <w:w w:val="150"/>
          <w:sz w:val="48"/>
          <w:szCs w:val="48"/>
          <w14:shadow w14:blurRad="50800" w14:dist="38100" w14:dir="2700000" w14:sx="100000" w14:sy="100000" w14:kx="0" w14:ky="0" w14:algn="tl">
            <w14:srgbClr w14:val="000000">
              <w14:alpha w14:val="60000"/>
            </w14:srgbClr>
          </w14:shadow>
        </w:rPr>
      </w:pPr>
      <w:r>
        <w:rPr>
          <w:rFonts w:hint="eastAsia" w:ascii="楷体" w:hAnsi="楷体" w:eastAsia="楷体" w:cs="Adobe 楷体 Std R"/>
          <w:b/>
          <w:w w:val="150"/>
          <w:sz w:val="48"/>
          <w:szCs w:val="48"/>
          <w14:shadow w14:blurRad="50800" w14:dist="38100" w14:dir="2700000" w14:sx="100000" w14:sy="100000" w14:kx="0" w14:ky="0" w14:algn="tl">
            <w14:srgbClr w14:val="000000">
              <w14:alpha w14:val="60000"/>
            </w14:srgbClr>
          </w14:shadow>
        </w:rPr>
        <w:t>花果山超高清视频产业特色小镇项目定位策划报告合作项目</w:t>
      </w:r>
    </w:p>
    <w:p w14:paraId="07DA2DE3">
      <w:pPr>
        <w:jc w:val="center"/>
        <w:rPr>
          <w:rFonts w:hint="eastAsia" w:ascii="楷体" w:hAnsi="楷体" w:eastAsia="楷体" w:cs="Adobe 楷体 Std R"/>
          <w:b/>
          <w:w w:val="150"/>
          <w:sz w:val="48"/>
          <w:szCs w:val="48"/>
          <w14:shadow w14:blurRad="50800" w14:dist="38100" w14:dir="2700000" w14:sx="100000" w14:sy="100000" w14:kx="0" w14:ky="0" w14:algn="tl">
            <w14:srgbClr w14:val="000000">
              <w14:alpha w14:val="60000"/>
            </w14:srgbClr>
          </w14:shadow>
        </w:rPr>
      </w:pPr>
    </w:p>
    <w:p w14:paraId="52DEB883">
      <w:pPr>
        <w:jc w:val="center"/>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14:paraId="1AF78ED9">
      <w:pPr>
        <w:jc w:val="center"/>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14:paraId="5C4A2EC6">
      <w:pPr>
        <w:jc w:val="center"/>
        <w:rPr>
          <w:rFonts w:ascii="楷体" w:hAnsi="楷体" w:eastAsia="楷体" w:cs="Adobe 楷体 Std R"/>
          <w:b/>
          <w:w w:val="150"/>
          <w:sz w:val="96"/>
          <w:szCs w:val="96"/>
        </w:rPr>
      </w:pPr>
      <w:r>
        <w:rPr>
          <w:rFonts w:hint="eastAsia" w:ascii="楷体" w:hAnsi="楷体" w:eastAsia="楷体" w:cs="Adobe 楷体 Std R"/>
          <w:b/>
          <w:w w:val="150"/>
          <w:sz w:val="80"/>
          <w:szCs w:val="80"/>
          <w14:shadow w14:blurRad="50800" w14:dist="38100" w14:dir="2700000" w14:sx="100000" w14:sy="100000" w14:kx="0" w14:ky="0" w14:algn="tl">
            <w14:srgbClr w14:val="000000">
              <w14:alpha w14:val="60000"/>
            </w14:srgbClr>
          </w14:shadow>
        </w:rPr>
        <w:t>竞选文件</w:t>
      </w:r>
    </w:p>
    <w:p w14:paraId="214C55E6">
      <w:pPr>
        <w:spacing w:line="400" w:lineRule="exact"/>
        <w:rPr>
          <w:rFonts w:ascii="楷体" w:hAnsi="楷体" w:eastAsia="楷体" w:cs="Times New Roman"/>
          <w:b/>
          <w:bCs/>
          <w:sz w:val="36"/>
          <w:szCs w:val="36"/>
        </w:rPr>
      </w:pPr>
    </w:p>
    <w:p w14:paraId="034D1F24">
      <w:pPr>
        <w:spacing w:line="400" w:lineRule="exact"/>
        <w:rPr>
          <w:rFonts w:ascii="楷体" w:hAnsi="楷体" w:eastAsia="楷体" w:cs="Times New Roman"/>
          <w:b/>
          <w:bCs/>
          <w:sz w:val="36"/>
          <w:szCs w:val="36"/>
        </w:rPr>
      </w:pPr>
    </w:p>
    <w:p w14:paraId="5A4400BC">
      <w:pPr>
        <w:spacing w:line="400" w:lineRule="exact"/>
        <w:rPr>
          <w:rFonts w:ascii="楷体" w:hAnsi="楷体" w:eastAsia="楷体" w:cs="Times New Roman"/>
          <w:b/>
          <w:bCs/>
          <w:sz w:val="36"/>
          <w:szCs w:val="36"/>
        </w:rPr>
      </w:pPr>
    </w:p>
    <w:p w14:paraId="70535A70">
      <w:pPr>
        <w:spacing w:line="400" w:lineRule="exact"/>
        <w:rPr>
          <w:rFonts w:ascii="楷体" w:hAnsi="楷体" w:eastAsia="楷体" w:cs="Times New Roman"/>
          <w:b/>
          <w:bCs/>
          <w:sz w:val="36"/>
          <w:szCs w:val="36"/>
        </w:rPr>
      </w:pPr>
    </w:p>
    <w:p w14:paraId="425F1465">
      <w:pPr>
        <w:spacing w:line="400" w:lineRule="exact"/>
        <w:rPr>
          <w:rFonts w:ascii="楷体" w:hAnsi="楷体" w:eastAsia="楷体" w:cs="Times New Roman"/>
          <w:b/>
          <w:bCs/>
          <w:sz w:val="36"/>
          <w:szCs w:val="36"/>
        </w:rPr>
      </w:pPr>
    </w:p>
    <w:p w14:paraId="1F717796">
      <w:pPr>
        <w:spacing w:line="400" w:lineRule="exact"/>
        <w:rPr>
          <w:rFonts w:ascii="楷体" w:hAnsi="楷体" w:eastAsia="楷体" w:cs="Times New Roman"/>
          <w:b/>
          <w:bCs/>
          <w:sz w:val="36"/>
          <w:szCs w:val="36"/>
        </w:rPr>
      </w:pPr>
    </w:p>
    <w:p w14:paraId="172C6012">
      <w:pPr>
        <w:spacing w:line="400" w:lineRule="exact"/>
        <w:rPr>
          <w:rFonts w:ascii="楷体" w:hAnsi="楷体" w:eastAsia="楷体" w:cs="Times New Roman"/>
          <w:b/>
          <w:bCs/>
          <w:sz w:val="36"/>
          <w:szCs w:val="36"/>
        </w:rPr>
      </w:pPr>
    </w:p>
    <w:p w14:paraId="013A8157">
      <w:pPr>
        <w:spacing w:line="400" w:lineRule="exact"/>
        <w:rPr>
          <w:rFonts w:ascii="楷体" w:hAnsi="楷体" w:eastAsia="楷体" w:cs="Times New Roman"/>
          <w:b/>
          <w:bCs/>
          <w:sz w:val="36"/>
          <w:szCs w:val="36"/>
        </w:rPr>
      </w:pPr>
    </w:p>
    <w:p w14:paraId="35972D51">
      <w:pPr>
        <w:spacing w:line="400" w:lineRule="exact"/>
        <w:rPr>
          <w:rFonts w:ascii="楷体" w:hAnsi="楷体" w:eastAsia="楷体" w:cs="Times New Roman"/>
          <w:b/>
          <w:bCs/>
          <w:sz w:val="36"/>
          <w:szCs w:val="36"/>
        </w:rPr>
      </w:pPr>
    </w:p>
    <w:p w14:paraId="132EDF22">
      <w:pPr>
        <w:spacing w:line="400" w:lineRule="exact"/>
        <w:rPr>
          <w:rFonts w:ascii="楷体" w:hAnsi="楷体" w:eastAsia="楷体" w:cs="Times New Roman"/>
          <w:b/>
          <w:bCs/>
          <w:sz w:val="36"/>
          <w:szCs w:val="36"/>
        </w:rPr>
      </w:pPr>
    </w:p>
    <w:p w14:paraId="0C5AF756">
      <w:pPr>
        <w:spacing w:line="400" w:lineRule="exact"/>
        <w:rPr>
          <w:rFonts w:ascii="楷体" w:hAnsi="楷体" w:eastAsia="楷体" w:cs="Times New Roman"/>
          <w:b/>
          <w:bCs/>
          <w:sz w:val="36"/>
          <w:szCs w:val="36"/>
        </w:rPr>
      </w:pPr>
    </w:p>
    <w:p w14:paraId="6F8ADDC7">
      <w:pPr>
        <w:spacing w:line="400" w:lineRule="exact"/>
        <w:rPr>
          <w:rFonts w:ascii="楷体" w:hAnsi="楷体" w:eastAsia="楷体" w:cs="Times New Roman"/>
          <w:b/>
          <w:bCs/>
          <w:sz w:val="36"/>
          <w:szCs w:val="36"/>
        </w:rPr>
      </w:pPr>
    </w:p>
    <w:p w14:paraId="4589BB56">
      <w:pPr>
        <w:spacing w:line="400" w:lineRule="exact"/>
        <w:rPr>
          <w:rFonts w:ascii="楷体" w:hAnsi="楷体" w:eastAsia="楷体" w:cs="Times New Roman"/>
          <w:b/>
          <w:bCs/>
          <w:sz w:val="36"/>
          <w:szCs w:val="36"/>
        </w:rPr>
      </w:pPr>
    </w:p>
    <w:p w14:paraId="1DF760A3">
      <w:pPr>
        <w:spacing w:line="400" w:lineRule="exact"/>
        <w:rPr>
          <w:rFonts w:ascii="楷体" w:hAnsi="楷体" w:eastAsia="楷体" w:cs="Times New Roman"/>
          <w:b/>
          <w:bCs/>
          <w:sz w:val="36"/>
          <w:szCs w:val="36"/>
        </w:rPr>
      </w:pPr>
    </w:p>
    <w:p w14:paraId="7B506F2B">
      <w:pPr>
        <w:spacing w:line="400" w:lineRule="exact"/>
        <w:jc w:val="center"/>
        <w:rPr>
          <w:rFonts w:ascii="楷体" w:hAnsi="楷体" w:eastAsia="楷体" w:cs="宋体"/>
          <w:b/>
          <w:bCs/>
          <w:sz w:val="36"/>
          <w:szCs w:val="36"/>
        </w:rPr>
      </w:pPr>
      <w:r>
        <w:rPr>
          <w:rFonts w:hint="eastAsia" w:ascii="楷体" w:hAnsi="楷体" w:eastAsia="楷体" w:cs="宋体"/>
          <w:b/>
          <w:bCs/>
          <w:sz w:val="36"/>
          <w:szCs w:val="36"/>
        </w:rPr>
        <w:t>广州市城壹房地产</w:t>
      </w:r>
      <w:r>
        <w:rPr>
          <w:rFonts w:hint="eastAsia" w:ascii="楷体" w:hAnsi="楷体" w:eastAsia="楷体" w:cs="宋体"/>
          <w:b/>
          <w:bCs/>
          <w:sz w:val="36"/>
          <w:szCs w:val="36"/>
          <w:lang w:val="en-US" w:eastAsia="zh-CN"/>
        </w:rPr>
        <w:t>顾问</w:t>
      </w:r>
      <w:r>
        <w:rPr>
          <w:rFonts w:hint="eastAsia" w:ascii="楷体" w:hAnsi="楷体" w:eastAsia="楷体" w:cs="宋体"/>
          <w:b/>
          <w:bCs/>
          <w:sz w:val="36"/>
          <w:szCs w:val="36"/>
        </w:rPr>
        <w:t>有限公司</w:t>
      </w:r>
    </w:p>
    <w:p w14:paraId="5A65329F">
      <w:pPr>
        <w:spacing w:line="400" w:lineRule="exact"/>
        <w:jc w:val="center"/>
        <w:rPr>
          <w:rFonts w:ascii="楷体" w:hAnsi="楷体" w:eastAsia="楷体" w:cs="宋体"/>
          <w:b/>
          <w:bCs/>
          <w:sz w:val="32"/>
          <w:szCs w:val="32"/>
        </w:rPr>
      </w:pPr>
    </w:p>
    <w:p w14:paraId="29165AB7">
      <w:pPr>
        <w:spacing w:line="400" w:lineRule="exact"/>
        <w:jc w:val="center"/>
        <w:rPr>
          <w:rFonts w:ascii="楷体" w:hAnsi="楷体" w:eastAsia="楷体" w:cs="宋体"/>
          <w:b/>
          <w:bCs/>
          <w:sz w:val="32"/>
          <w:szCs w:val="32"/>
        </w:rPr>
      </w:pPr>
      <w:r>
        <w:rPr>
          <w:rFonts w:hint="eastAsia" w:ascii="楷体" w:hAnsi="楷体" w:eastAsia="楷体" w:cs="宋体"/>
          <w:b/>
          <w:bCs/>
          <w:sz w:val="32"/>
          <w:szCs w:val="32"/>
          <w:u w:val="single"/>
          <w:lang w:val="en-US" w:eastAsia="zh-CN"/>
        </w:rPr>
        <w:t>2025</w:t>
      </w:r>
      <w:r>
        <w:rPr>
          <w:rFonts w:hint="eastAsia" w:ascii="楷体" w:hAnsi="楷体" w:eastAsia="楷体" w:cs="宋体"/>
          <w:b/>
          <w:bCs/>
          <w:sz w:val="32"/>
          <w:szCs w:val="32"/>
        </w:rPr>
        <w:t>年</w:t>
      </w:r>
      <w:r>
        <w:rPr>
          <w:rFonts w:hint="eastAsia" w:ascii="楷体" w:hAnsi="楷体" w:eastAsia="楷体" w:cs="宋体"/>
          <w:b/>
          <w:bCs/>
          <w:sz w:val="32"/>
          <w:szCs w:val="32"/>
          <w:u w:val="single"/>
          <w:lang w:val="en-US" w:eastAsia="zh-CN"/>
        </w:rPr>
        <w:t>1</w:t>
      </w:r>
      <w:r>
        <w:rPr>
          <w:rFonts w:hint="eastAsia" w:ascii="楷体" w:hAnsi="楷体" w:eastAsia="楷体" w:cs="宋体"/>
          <w:b/>
          <w:bCs/>
          <w:sz w:val="32"/>
          <w:szCs w:val="32"/>
        </w:rPr>
        <w:t>月</w:t>
      </w:r>
      <w:r>
        <w:rPr>
          <w:rFonts w:hint="eastAsia" w:ascii="楷体" w:hAnsi="楷体" w:eastAsia="楷体" w:cs="宋体"/>
          <w:b/>
          <w:bCs/>
          <w:sz w:val="32"/>
          <w:szCs w:val="32"/>
          <w:u w:val="single"/>
          <w:lang w:val="en-US" w:eastAsia="zh-CN"/>
        </w:rPr>
        <w:t>17</w:t>
      </w:r>
      <w:r>
        <w:rPr>
          <w:rFonts w:hint="eastAsia" w:ascii="楷体" w:hAnsi="楷体" w:eastAsia="楷体" w:cs="宋体"/>
          <w:b/>
          <w:bCs/>
          <w:sz w:val="32"/>
          <w:szCs w:val="32"/>
        </w:rPr>
        <w:t>日</w:t>
      </w:r>
    </w:p>
    <w:p w14:paraId="78B6D64A">
      <w:pPr>
        <w:spacing w:line="400" w:lineRule="exact"/>
        <w:jc w:val="center"/>
        <w:rPr>
          <w:rFonts w:ascii="仿宋_GB2312" w:hAnsi="Calibri" w:eastAsia="仿宋_GB2312" w:cs="Times New Roman"/>
          <w:szCs w:val="24"/>
        </w:rPr>
      </w:pPr>
      <w:r>
        <w:rPr>
          <w:rFonts w:ascii="仿宋_GB2312" w:hAnsi="宋体" w:eastAsia="仿宋_GB2312" w:cs="Times New Roman"/>
          <w:b/>
          <w:sz w:val="36"/>
          <w:szCs w:val="24"/>
        </w:rPr>
        <w:br w:type="page"/>
      </w:r>
      <w:r>
        <w:rPr>
          <w:rFonts w:ascii="仿宋_GB2312" w:hAnsi="宋体" w:eastAsia="仿宋_GB2312" w:cs="Times New Roman"/>
          <w:sz w:val="28"/>
          <w:szCs w:val="28"/>
        </w:rPr>
        <w:t xml:space="preserve"> </w:t>
      </w:r>
    </w:p>
    <w:p w14:paraId="16DC77DE">
      <w:pPr>
        <w:keepNext/>
        <w:numPr>
          <w:ilvl w:val="0"/>
          <w:numId w:val="1"/>
        </w:numPr>
        <w:spacing w:line="400" w:lineRule="exact"/>
        <w:jc w:val="center"/>
        <w:outlineLvl w:val="0"/>
        <w:rPr>
          <w:rFonts w:ascii="仿宋_GB2312" w:hAnsi="宋体" w:eastAsia="仿宋_GB2312" w:cs="宋体"/>
          <w:b/>
          <w:bCs/>
          <w:spacing w:val="20"/>
          <w:kern w:val="44"/>
          <w:sz w:val="32"/>
          <w:szCs w:val="32"/>
        </w:rPr>
      </w:pPr>
      <w:bookmarkStart w:id="0" w:name="_Toc334797727"/>
      <w:r>
        <w:rPr>
          <w:rFonts w:hint="eastAsia" w:ascii="仿宋_GB2312" w:hAnsi="宋体" w:eastAsia="仿宋_GB2312" w:cs="宋体"/>
          <w:b/>
          <w:bCs/>
          <w:spacing w:val="20"/>
          <w:kern w:val="44"/>
          <w:sz w:val="32"/>
          <w:szCs w:val="32"/>
        </w:rPr>
        <w:t>竞选公告</w:t>
      </w:r>
      <w:bookmarkEnd w:id="0"/>
    </w:p>
    <w:p w14:paraId="577CDD21">
      <w:pPr>
        <w:spacing w:line="400" w:lineRule="exact"/>
        <w:rPr>
          <w:rFonts w:ascii="Calibri" w:hAnsi="Calibri" w:eastAsia="宋体" w:cs="Times New Roman"/>
          <w:szCs w:val="24"/>
        </w:rPr>
      </w:pPr>
    </w:p>
    <w:p w14:paraId="2E300BB3">
      <w:pPr>
        <w:widowControl/>
        <w:spacing w:line="400" w:lineRule="exact"/>
        <w:jc w:val="center"/>
        <w:rPr>
          <w:rFonts w:hint="default" w:ascii="仿宋_GB2312" w:hAnsi="宋体" w:eastAsia="仿宋_GB2312" w:cs="宋体"/>
          <w:b/>
          <w:bCs/>
          <w:spacing w:val="20"/>
          <w:kern w:val="44"/>
          <w:sz w:val="32"/>
          <w:szCs w:val="32"/>
          <w:lang w:val="en-US" w:eastAsia="zh-CN"/>
        </w:rPr>
      </w:pPr>
      <w:r>
        <w:rPr>
          <w:rFonts w:hint="eastAsia" w:ascii="仿宋_GB2312" w:hAnsi="宋体" w:eastAsia="仿宋_GB2312" w:cs="宋体"/>
          <w:b/>
          <w:bCs/>
          <w:spacing w:val="20"/>
          <w:kern w:val="44"/>
          <w:sz w:val="32"/>
          <w:szCs w:val="32"/>
        </w:rPr>
        <w:t>花果山超高清视频产业特色小镇项目定位策划报告</w:t>
      </w:r>
      <w:r>
        <w:rPr>
          <w:rFonts w:hint="eastAsia" w:ascii="仿宋_GB2312" w:hAnsi="宋体" w:eastAsia="仿宋_GB2312" w:cs="宋体"/>
          <w:b/>
          <w:bCs/>
          <w:spacing w:val="20"/>
          <w:kern w:val="44"/>
          <w:sz w:val="32"/>
          <w:szCs w:val="32"/>
          <w:lang w:val="en-US" w:eastAsia="zh-CN"/>
        </w:rPr>
        <w:t>合作项目</w:t>
      </w:r>
    </w:p>
    <w:p w14:paraId="2B64928A">
      <w:pPr>
        <w:widowControl/>
        <w:spacing w:line="400" w:lineRule="exact"/>
        <w:jc w:val="center"/>
        <w:rPr>
          <w:rFonts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竞选公告</w:t>
      </w:r>
    </w:p>
    <w:p w14:paraId="5F03331D">
      <w:pPr>
        <w:widowControl/>
        <w:spacing w:line="400" w:lineRule="exact"/>
        <w:jc w:val="center"/>
        <w:rPr>
          <w:rFonts w:ascii="仿宋_GB2312" w:hAnsi="宋体" w:eastAsia="仿宋_GB2312" w:cs="宋体"/>
          <w:b/>
          <w:bCs/>
          <w:spacing w:val="20"/>
          <w:kern w:val="44"/>
          <w:sz w:val="32"/>
          <w:szCs w:val="32"/>
        </w:rPr>
      </w:pPr>
    </w:p>
    <w:p w14:paraId="55970884">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根据有关法律法规及相关采购管理规定，本着公平、公正、公开原则，拟对花果山超高清视频产业特色小镇项目定位策划报告合作项目进行公开竞选采购，按竞选采购程序选定相应服务单位，现将该竞选采购项目相关信息对外公开发布。</w:t>
      </w:r>
    </w:p>
    <w:p w14:paraId="7F614B1C">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请符合资格的意向竞投人自本公告发布时间起至竞投文件截止接收时间止，自行前往采购人处领取或网上自行下载相关文件/资料及信息，并按要求自行参与竞投工作。竞投人需对所有的竞投内容进行报价，不允许仅对部分内容进行竞投。竞投人需自行承担所有与其参加竞投有关的全部费用。</w:t>
      </w:r>
    </w:p>
    <w:p w14:paraId="05D32A46">
      <w:pPr>
        <w:spacing w:line="400" w:lineRule="exact"/>
        <w:rPr>
          <w:rFonts w:ascii="仿宋_GB2312" w:hAnsi="仿宋_GB2312" w:eastAsia="仿宋_GB2312" w:cs="仿宋_GB2312"/>
          <w:sz w:val="24"/>
          <w:szCs w:val="24"/>
        </w:rPr>
      </w:pPr>
    </w:p>
    <w:p w14:paraId="1D6DC3E8">
      <w:pPr>
        <w:spacing w:line="400" w:lineRule="exact"/>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一、竞选项目内容说明</w:t>
      </w:r>
    </w:p>
    <w:p w14:paraId="78FF2BC2">
      <w:pPr>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（一）项目名称：花果山超高清视频产业特色小镇项目定位策划报告合作项目</w:t>
      </w:r>
    </w:p>
    <w:p w14:paraId="360D7F00">
      <w:pPr>
        <w:spacing w:line="40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（二）项目内容：</w:t>
      </w:r>
      <w:r>
        <w:rPr>
          <w:rFonts w:hint="eastAsia" w:ascii="仿宋_GB2312" w:hAnsi="仿宋_GB2312" w:eastAsia="仿宋_GB2312" w:cs="仿宋_GB2312"/>
          <w:sz w:val="24"/>
          <w:szCs w:val="24"/>
          <w:highlight w:val="none"/>
          <w:lang w:val="en-US" w:eastAsia="zh-CN"/>
        </w:rPr>
        <w:t>本次合作内容针对</w:t>
      </w:r>
      <w:r>
        <w:rPr>
          <w:rFonts w:hint="eastAsia" w:ascii="仿宋_GB2312" w:hAnsi="仿宋_GB2312" w:eastAsia="仿宋_GB2312" w:cs="仿宋_GB2312"/>
          <w:sz w:val="24"/>
          <w:szCs w:val="24"/>
        </w:rPr>
        <w:t>花果山超高清视频产业特色小镇项目定位策划</w:t>
      </w:r>
      <w:r>
        <w:rPr>
          <w:rFonts w:hint="eastAsia" w:ascii="仿宋_GB2312" w:hAnsi="仿宋_GB2312" w:eastAsia="仿宋_GB2312" w:cs="仿宋_GB2312"/>
          <w:sz w:val="24"/>
          <w:szCs w:val="24"/>
          <w:highlight w:val="none"/>
          <w:lang w:val="en-US" w:eastAsia="zh-CN"/>
        </w:rPr>
        <w:t>，项目具体内容包括但不限于项目背景、项目基本情况分析、片区规划及发展、产业研究、周边市场分析、相关案例分析、项目定位及业态规划、产业载体建议、政策申请建议、项目运营思路等一系列策划服务。</w:t>
      </w:r>
    </w:p>
    <w:p w14:paraId="3D881168">
      <w:pPr>
        <w:spacing w:line="400" w:lineRule="exac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（三）项目地点：</w:t>
      </w:r>
      <w:r>
        <w:rPr>
          <w:rFonts w:hint="eastAsia" w:ascii="仿宋_GB2312" w:hAnsi="仿宋_GB2312" w:eastAsia="仿宋_GB2312" w:cs="仿宋_GB2312"/>
          <w:sz w:val="24"/>
          <w:szCs w:val="24"/>
          <w:highlight w:val="none"/>
          <w:lang w:val="en-US" w:eastAsia="zh-CN"/>
        </w:rPr>
        <w:t xml:space="preserve">环市中路231、233号 </w:t>
      </w:r>
    </w:p>
    <w:p w14:paraId="2D6F1CDF">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（四）项目限价：</w:t>
      </w:r>
      <w:r>
        <w:rPr>
          <w:rFonts w:hint="eastAsia" w:ascii="仿宋_GB2312" w:hAnsi="仿宋_GB2312" w:eastAsia="仿宋_GB2312" w:cs="仿宋_GB2312"/>
          <w:sz w:val="24"/>
          <w:szCs w:val="24"/>
          <w:highlight w:val="none"/>
          <w:lang w:val="en-US" w:eastAsia="zh-CN"/>
        </w:rPr>
        <w:t>18</w:t>
      </w:r>
      <w:r>
        <w:rPr>
          <w:rFonts w:hint="eastAsia" w:ascii="仿宋_GB2312" w:hAnsi="仿宋_GB2312" w:eastAsia="仿宋_GB2312" w:cs="仿宋_GB2312"/>
          <w:sz w:val="24"/>
          <w:szCs w:val="24"/>
          <w:highlight w:val="none"/>
        </w:rPr>
        <w:t>万元</w:t>
      </w:r>
      <w:r>
        <w:rPr>
          <w:rFonts w:hint="eastAsia" w:ascii="仿宋_GB2312" w:hAnsi="仿宋_GB2312" w:eastAsia="仿宋_GB2312" w:cs="仿宋_GB2312"/>
          <w:sz w:val="24"/>
          <w:szCs w:val="24"/>
        </w:rPr>
        <w:t>人民币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含税</w:t>
      </w:r>
      <w:r>
        <w:rPr>
          <w:rFonts w:hint="eastAsia" w:ascii="仿宋_GB2312" w:hAnsi="仿宋_GB2312" w:eastAsia="仿宋_GB2312" w:cs="仿宋_GB2312"/>
          <w:sz w:val="24"/>
          <w:szCs w:val="24"/>
          <w:lang w:eastAsia="zh-CN"/>
        </w:rPr>
        <w:t>）</w:t>
      </w:r>
    </w:p>
    <w:p w14:paraId="09BB8FC9">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（五）本项目设置</w:t>
      </w:r>
      <w:r>
        <w:rPr>
          <w:rFonts w:hint="eastAsia" w:ascii="仿宋_GB2312" w:hAnsi="仿宋_GB2312" w:eastAsia="仿宋_GB2312" w:cs="仿宋_GB2312"/>
          <w:sz w:val="24"/>
          <w:szCs w:val="24"/>
          <w:lang w:val="en-US" w:eastAsia="zh-CN"/>
        </w:rPr>
        <w:t>合理</w:t>
      </w:r>
      <w:r>
        <w:rPr>
          <w:rFonts w:hint="eastAsia" w:ascii="仿宋_GB2312" w:hAnsi="仿宋_GB2312" w:eastAsia="仿宋_GB2312" w:cs="仿宋_GB2312"/>
          <w:sz w:val="24"/>
          <w:szCs w:val="24"/>
        </w:rPr>
        <w:t>报价区间为[项目限价*80%，项目限价]</w:t>
      </w:r>
    </w:p>
    <w:p w14:paraId="2AC0FDCC">
      <w:pPr>
        <w:spacing w:line="400" w:lineRule="exact"/>
        <w:rPr>
          <w:rFonts w:ascii="仿宋_GB2312" w:hAnsi="仿宋_GB2312" w:eastAsia="仿宋_GB2312" w:cs="仿宋_GB2312"/>
          <w:sz w:val="24"/>
          <w:szCs w:val="24"/>
        </w:rPr>
      </w:pPr>
    </w:p>
    <w:p w14:paraId="1DF2ED79">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二、供应商资格要求</w:t>
      </w:r>
    </w:p>
    <w:p w14:paraId="34F905F7">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（一）竞投人需持有中华人民共和国工商行政管理部门颁发的企业法人营业执照并通过年检，具备相应的经营范围，并持有效的税务登记证。</w:t>
      </w:r>
    </w:p>
    <w:p w14:paraId="49741D62">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（二）竞投人需具有良好的企业信誉，在过往的经营活动中没有违法或者不良信誉记录。</w:t>
      </w:r>
    </w:p>
    <w:p w14:paraId="2CFFF894">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（三）竞投人营业范围须符合本项目需求。</w:t>
      </w:r>
    </w:p>
    <w:p w14:paraId="5A0DB083">
      <w:pPr>
        <w:spacing w:line="400" w:lineRule="exact"/>
        <w:rPr>
          <w:rFonts w:ascii="仿宋_GB2312" w:hAnsi="仿宋_GB2312" w:eastAsia="仿宋_GB2312" w:cs="仿宋_GB2312"/>
          <w:sz w:val="24"/>
          <w:szCs w:val="24"/>
        </w:rPr>
      </w:pPr>
    </w:p>
    <w:p w14:paraId="590316B1">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三、竞投资料及递交时间地点</w:t>
      </w:r>
    </w:p>
    <w:p w14:paraId="0F1563C6">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（一）公司资质的相关文件：公司营业执照、税务登记证复印件（加盖公章）及公司基本情况介绍等资料。</w:t>
      </w:r>
    </w:p>
    <w:p w14:paraId="7F3A0E83">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（二）花果山超高清视频产业特色小镇项目定位策划报告合作项目</w:t>
      </w:r>
      <w:r>
        <w:rPr>
          <w:rFonts w:hint="eastAsia" w:ascii="仿宋_GB2312" w:hAnsi="仿宋_GB2312" w:eastAsia="仿宋_GB2312" w:cs="仿宋_GB2312"/>
          <w:sz w:val="24"/>
          <w:szCs w:val="24"/>
          <w:lang w:val="en-US" w:eastAsia="zh-CN"/>
        </w:rPr>
        <w:t>服务建议书（方案思路）</w:t>
      </w:r>
      <w:r>
        <w:rPr>
          <w:rFonts w:hint="eastAsia" w:ascii="仿宋_GB2312" w:hAnsi="仿宋_GB2312" w:eastAsia="仿宋_GB2312" w:cs="仿宋_GB2312"/>
          <w:sz w:val="24"/>
          <w:szCs w:val="24"/>
        </w:rPr>
        <w:t>。</w:t>
      </w:r>
    </w:p>
    <w:p w14:paraId="5832DC9B">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（三）花果山超高清视频产业特色小镇项目定位策划报告合作项目</w:t>
      </w:r>
      <w:r>
        <w:rPr>
          <w:rFonts w:hint="eastAsia" w:ascii="仿宋_GB2312" w:hAnsi="仿宋_GB2312" w:eastAsia="仿宋_GB2312" w:cs="仿宋_GB2312"/>
          <w:sz w:val="24"/>
          <w:szCs w:val="24"/>
          <w:lang w:val="en-US" w:eastAsia="zh-CN"/>
        </w:rPr>
        <w:t>报价表。</w:t>
      </w:r>
    </w:p>
    <w:p w14:paraId="14892CE9">
      <w:pPr>
        <w:spacing w:line="40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（四）</w:t>
      </w:r>
      <w:r>
        <w:rPr>
          <w:rFonts w:hint="eastAsia" w:ascii="仿宋_GB2312" w:hAnsi="仿宋_GB2312" w:eastAsia="仿宋_GB2312" w:cs="仿宋_GB2312"/>
          <w:sz w:val="24"/>
          <w:szCs w:val="24"/>
          <w:lang w:val="en-US" w:eastAsia="zh-CN"/>
        </w:rPr>
        <w:t>公司业绩一览表（附合同首尾页）</w:t>
      </w:r>
    </w:p>
    <w:p w14:paraId="6EE21D97">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五</w:t>
      </w:r>
      <w:r>
        <w:rPr>
          <w:rFonts w:hint="eastAsia" w:ascii="仿宋_GB2312" w:hAnsi="仿宋_GB2312" w:eastAsia="仿宋_GB2312" w:cs="仿宋_GB2312"/>
          <w:sz w:val="24"/>
          <w:szCs w:val="24"/>
        </w:rPr>
        <w:t>）竞投单位以密封形式提交竞投资料，本项目仅接受现场递交资料，快递方式提交资料将视为无效竞投。</w:t>
      </w:r>
    </w:p>
    <w:p w14:paraId="2EF89088">
      <w:pPr>
        <w:spacing w:line="40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六</w:t>
      </w:r>
      <w:r>
        <w:rPr>
          <w:rFonts w:hint="eastAsia" w:ascii="仿宋_GB2312" w:hAnsi="仿宋_GB2312" w:eastAsia="仿宋_GB2312" w:cs="仿宋_GB2312"/>
          <w:sz w:val="24"/>
          <w:szCs w:val="24"/>
        </w:rPr>
        <w:t>）竞投文件提交截止时间：202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lang w:val="en-US" w:eastAsia="zh-CN"/>
        </w:rPr>
        <w:t>22</w:t>
      </w:r>
      <w:r>
        <w:rPr>
          <w:rFonts w:hint="eastAsia" w:ascii="仿宋_GB2312" w:hAnsi="仿宋_GB2312" w:eastAsia="仿宋_GB2312" w:cs="仿宋_GB2312"/>
          <w:sz w:val="24"/>
          <w:szCs w:val="24"/>
        </w:rPr>
        <w:t>日上午</w:t>
      </w:r>
      <w:r>
        <w:rPr>
          <w:rFonts w:hint="eastAsia" w:ascii="仿宋_GB2312" w:hAnsi="仿宋_GB2312" w:eastAsia="仿宋_GB2312" w:cs="仿宋_GB2312"/>
          <w:sz w:val="24"/>
          <w:szCs w:val="24"/>
          <w:lang w:val="en-US" w:eastAsia="zh-CN"/>
        </w:rPr>
        <w:t>10时30分00秒</w:t>
      </w:r>
    </w:p>
    <w:p w14:paraId="156F4EB2">
      <w:pPr>
        <w:spacing w:line="400" w:lineRule="exact"/>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开评标</w:t>
      </w:r>
      <w:r>
        <w:rPr>
          <w:rFonts w:hint="eastAsia" w:ascii="仿宋_GB2312" w:hAnsi="仿宋_GB2312" w:eastAsia="仿宋_GB2312" w:cs="仿宋_GB2312"/>
          <w:sz w:val="24"/>
          <w:szCs w:val="24"/>
        </w:rPr>
        <w:t>时间：202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lang w:val="en-US" w:eastAsia="zh-CN"/>
        </w:rPr>
        <w:t>22</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上午</w:t>
      </w:r>
      <w:r>
        <w:rPr>
          <w:rFonts w:hint="eastAsia" w:ascii="仿宋_GB2312" w:hAnsi="仿宋_GB2312" w:eastAsia="仿宋_GB2312" w:cs="仿宋_GB2312"/>
          <w:sz w:val="24"/>
          <w:szCs w:val="24"/>
          <w:lang w:val="en-US" w:eastAsia="zh-CN"/>
        </w:rPr>
        <w:t>10时30分00秒</w:t>
      </w:r>
    </w:p>
    <w:p w14:paraId="7B2FB21A">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七</w:t>
      </w:r>
      <w:r>
        <w:rPr>
          <w:rFonts w:hint="eastAsia" w:ascii="仿宋_GB2312" w:hAnsi="仿宋_GB2312" w:eastAsia="仿宋_GB2312" w:cs="仿宋_GB2312"/>
          <w:sz w:val="24"/>
          <w:szCs w:val="24"/>
        </w:rPr>
        <w:t>）递交地址：</w:t>
      </w:r>
      <w:r>
        <w:rPr>
          <w:rFonts w:hint="eastAsia" w:ascii="仿宋_GB2312" w:hAnsi="仿宋_GB2312" w:eastAsia="仿宋_GB2312" w:cs="仿宋_GB2312"/>
          <w:sz w:val="24"/>
          <w:szCs w:val="24"/>
          <w:highlight w:val="none"/>
        </w:rPr>
        <w:t>广州市越秀区</w:t>
      </w:r>
      <w:r>
        <w:rPr>
          <w:rFonts w:hint="eastAsia" w:ascii="仿宋_GB2312" w:hAnsi="仿宋_GB2312" w:eastAsia="仿宋_GB2312" w:cs="仿宋_GB2312"/>
          <w:sz w:val="24"/>
          <w:szCs w:val="24"/>
          <w:highlight w:val="none"/>
          <w:lang w:val="en-US" w:eastAsia="zh-CN"/>
        </w:rPr>
        <w:t>流花路流花展贸中心13号馆2楼</w:t>
      </w:r>
      <w:r>
        <w:rPr>
          <w:rFonts w:hint="eastAsia" w:ascii="仿宋_GB2312" w:hAnsi="仿宋_GB2312" w:eastAsia="仿宋_GB2312" w:cs="仿宋_GB2312"/>
          <w:sz w:val="24"/>
          <w:szCs w:val="24"/>
          <w:highlight w:val="none"/>
        </w:rPr>
        <w:t>。</w:t>
      </w:r>
    </w:p>
    <w:p w14:paraId="49A99CEC">
      <w:pPr>
        <w:spacing w:line="400" w:lineRule="exact"/>
        <w:rPr>
          <w:rFonts w:ascii="仿宋_GB2312" w:hAnsi="仿宋_GB2312" w:eastAsia="仿宋_GB2312" w:cs="仿宋_GB2312"/>
          <w:sz w:val="24"/>
          <w:szCs w:val="24"/>
        </w:rPr>
      </w:pPr>
    </w:p>
    <w:p w14:paraId="351952D7">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四、中选和公布</w:t>
      </w:r>
    </w:p>
    <w:p w14:paraId="5C8FFE8F">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（一）本采购项目信息同步在采购人的官方网站</w:t>
      </w:r>
      <w:r>
        <w:rPr>
          <w:rFonts w:hint="eastAsia" w:ascii="仿宋_GB2312" w:hAnsi="仿宋_GB2312" w:eastAsia="仿宋_GB2312" w:cs="仿宋_GB2312"/>
          <w:sz w:val="24"/>
          <w:szCs w:val="24"/>
          <w:highlight w:val="none"/>
          <w:lang w:eastAsia="zh-CN"/>
        </w:rPr>
        <w:t>（http://www.gzcityone.com/）、广州国企阳光采购信息发布平台（https://ygcg.gzggzy.cn）</w:t>
      </w:r>
      <w:r>
        <w:rPr>
          <w:rFonts w:hint="eastAsia" w:ascii="仿宋_GB2312" w:hAnsi="仿宋_GB2312" w:eastAsia="仿宋_GB2312" w:cs="仿宋_GB2312"/>
          <w:sz w:val="24"/>
          <w:szCs w:val="24"/>
          <w:highlight w:val="none"/>
          <w:lang w:val="en-US" w:eastAsia="zh-CN"/>
        </w:rPr>
        <w:t>及</w:t>
      </w:r>
      <w:r>
        <w:rPr>
          <w:rFonts w:hint="eastAsia" w:ascii="仿宋_GB2312" w:hAnsi="仿宋_GB2312" w:eastAsia="仿宋_GB2312" w:cs="仿宋_GB2312"/>
          <w:sz w:val="24"/>
          <w:szCs w:val="24"/>
          <w:highlight w:val="none"/>
          <w:lang w:eastAsia="zh-CN"/>
        </w:rPr>
        <w:t>广州市城投资产经营管理有限公司网（http://www.gzccic.com）</w:t>
      </w:r>
      <w:r>
        <w:rPr>
          <w:rFonts w:hint="eastAsia" w:ascii="仿宋_GB2312" w:hAnsi="仿宋_GB2312" w:eastAsia="仿宋_GB2312" w:cs="仿宋_GB2312"/>
          <w:sz w:val="24"/>
          <w:szCs w:val="24"/>
          <w:highlight w:val="none"/>
        </w:rPr>
        <w:t>发布，符合资格的意向竞投人可自行查阅或下载相关文件/资料及信息，并按要求自行参与竞投工作，并自行承担所有与其参加竞投有关的全部费用。</w:t>
      </w:r>
    </w:p>
    <w:p w14:paraId="25F5F47A">
      <w:pPr>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（二）经综合评审，综合得分最高且方案符合广州市城壹房地产</w:t>
      </w:r>
      <w:r>
        <w:rPr>
          <w:rFonts w:hint="eastAsia" w:ascii="仿宋_GB2312" w:hAnsi="仿宋_GB2312" w:eastAsia="仿宋_GB2312" w:cs="仿宋_GB2312"/>
          <w:sz w:val="24"/>
          <w:szCs w:val="24"/>
          <w:lang w:val="en-US" w:eastAsia="zh-CN"/>
        </w:rPr>
        <w:t>顾问</w:t>
      </w:r>
      <w:r>
        <w:rPr>
          <w:rFonts w:hint="eastAsia" w:ascii="仿宋_GB2312" w:hAnsi="仿宋_GB2312" w:eastAsia="仿宋_GB2312" w:cs="仿宋_GB2312"/>
          <w:sz w:val="24"/>
          <w:szCs w:val="24"/>
        </w:rPr>
        <w:t>有限公司要求的竞投单位推荐为第一项目供应商。第一项目供应商放弃中选、或因不可抗力提出不能履行合同的，采购单位可以确定排名次高的第二项目供应商为项目供应商。</w:t>
      </w:r>
    </w:p>
    <w:p w14:paraId="51550A2B">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（三）竞投文件的截止递交时间前，如递交的有效竞投文件少于三家，则采购招选工作失败。广州市城壹房地产</w:t>
      </w:r>
      <w:r>
        <w:rPr>
          <w:rFonts w:hint="eastAsia" w:ascii="仿宋_GB2312" w:hAnsi="仿宋_GB2312" w:eastAsia="仿宋_GB2312" w:cs="仿宋_GB2312"/>
          <w:sz w:val="24"/>
          <w:szCs w:val="24"/>
          <w:lang w:val="en-US" w:eastAsia="zh-CN"/>
        </w:rPr>
        <w:t>顾问</w:t>
      </w:r>
      <w:r>
        <w:rPr>
          <w:rFonts w:hint="eastAsia" w:ascii="仿宋_GB2312" w:hAnsi="仿宋_GB2312" w:eastAsia="仿宋_GB2312" w:cs="仿宋_GB2312"/>
          <w:sz w:val="24"/>
          <w:szCs w:val="24"/>
        </w:rPr>
        <w:t>有限公司将按有关规定另行组织采购竞选工作。</w:t>
      </w:r>
    </w:p>
    <w:p w14:paraId="44866D76">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（四）本采购文件的最终解释权归采购人。</w:t>
      </w:r>
    </w:p>
    <w:p w14:paraId="3A3293FA">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公布时间: 竞投截止日起30日内</w:t>
      </w:r>
    </w:p>
    <w:p w14:paraId="5CA03444">
      <w:pPr>
        <w:spacing w:line="400" w:lineRule="exact"/>
        <w:rPr>
          <w:rFonts w:ascii="仿宋_GB2312" w:hAnsi="仿宋_GB2312" w:eastAsia="仿宋_GB2312" w:cs="仿宋_GB2312"/>
          <w:sz w:val="24"/>
          <w:szCs w:val="24"/>
        </w:rPr>
      </w:pPr>
    </w:p>
    <w:p w14:paraId="32167B95">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五、采购单位名称、地址及联系方式</w:t>
      </w:r>
    </w:p>
    <w:p w14:paraId="02E11B75">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（一）采购人名称：广州市城壹房地产</w:t>
      </w:r>
      <w:r>
        <w:rPr>
          <w:rFonts w:hint="eastAsia" w:ascii="仿宋_GB2312" w:hAnsi="仿宋_GB2312" w:eastAsia="仿宋_GB2312" w:cs="仿宋_GB2312"/>
          <w:sz w:val="24"/>
          <w:szCs w:val="24"/>
          <w:lang w:val="en-US" w:eastAsia="zh-CN"/>
        </w:rPr>
        <w:t>顾问</w:t>
      </w:r>
      <w:r>
        <w:rPr>
          <w:rFonts w:hint="eastAsia" w:ascii="仿宋_GB2312" w:hAnsi="仿宋_GB2312" w:eastAsia="仿宋_GB2312" w:cs="仿宋_GB2312"/>
          <w:sz w:val="24"/>
          <w:szCs w:val="24"/>
        </w:rPr>
        <w:t>有限公司</w:t>
      </w:r>
    </w:p>
    <w:p w14:paraId="7E4A9BA4">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（二）采购人地址：</w:t>
      </w:r>
      <w:r>
        <w:rPr>
          <w:rFonts w:hint="eastAsia" w:ascii="仿宋_GB2312" w:hAnsi="仿宋_GB2312" w:eastAsia="仿宋_GB2312" w:cs="仿宋_GB2312"/>
          <w:sz w:val="24"/>
          <w:szCs w:val="24"/>
          <w:highlight w:val="none"/>
        </w:rPr>
        <w:t>广州市越秀区</w:t>
      </w:r>
      <w:r>
        <w:rPr>
          <w:rFonts w:hint="eastAsia" w:ascii="仿宋_GB2312" w:hAnsi="仿宋_GB2312" w:eastAsia="仿宋_GB2312" w:cs="仿宋_GB2312"/>
          <w:sz w:val="24"/>
          <w:szCs w:val="24"/>
          <w:highlight w:val="none"/>
          <w:lang w:val="en-US" w:eastAsia="zh-CN"/>
        </w:rPr>
        <w:t>流花路流花展贸中心13号馆2楼</w:t>
      </w:r>
    </w:p>
    <w:p w14:paraId="2D030194">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（三）采购联系人：</w:t>
      </w:r>
      <w:r>
        <w:rPr>
          <w:rFonts w:hint="eastAsia" w:ascii="仿宋_GB2312" w:hAnsi="仿宋_GB2312" w:eastAsia="仿宋_GB2312" w:cs="仿宋_GB2312"/>
          <w:sz w:val="24"/>
          <w:szCs w:val="24"/>
          <w:lang w:val="en-US" w:eastAsia="zh-CN"/>
        </w:rPr>
        <w:t>陈先生</w:t>
      </w:r>
    </w:p>
    <w:p w14:paraId="69229745">
      <w:pPr>
        <w:snapToGrid w:val="0"/>
        <w:spacing w:line="40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联系方式：</w:t>
      </w:r>
      <w:r>
        <w:rPr>
          <w:rFonts w:hint="eastAsia" w:ascii="仿宋_GB2312" w:hAnsi="仿宋_GB2312" w:eastAsia="仿宋_GB2312" w:cs="仿宋_GB2312"/>
          <w:sz w:val="24"/>
          <w:szCs w:val="24"/>
          <w:lang w:val="en-US" w:eastAsia="zh-CN"/>
        </w:rPr>
        <w:t>020-</w:t>
      </w:r>
      <w:r>
        <w:rPr>
          <w:rFonts w:hint="eastAsia" w:ascii="仿宋_GB2312" w:hAnsi="仿宋_GB2312" w:eastAsia="仿宋_GB2312" w:cs="仿宋_GB2312"/>
          <w:sz w:val="24"/>
          <w:szCs w:val="24"/>
        </w:rPr>
        <w:t>83707917</w:t>
      </w:r>
    </w:p>
    <w:p w14:paraId="3348436F">
      <w:pPr>
        <w:widowControl/>
        <w:spacing w:line="400" w:lineRule="exact"/>
        <w:ind w:right="480"/>
        <w:jc w:val="righ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sz w:val="24"/>
          <w:szCs w:val="24"/>
        </w:rPr>
        <w:t>广州市城壹房地产</w:t>
      </w:r>
      <w:r>
        <w:rPr>
          <w:rFonts w:hint="eastAsia" w:ascii="仿宋_GB2312" w:hAnsi="仿宋_GB2312" w:eastAsia="仿宋_GB2312" w:cs="仿宋_GB2312"/>
          <w:sz w:val="24"/>
          <w:szCs w:val="24"/>
          <w:lang w:val="en-US" w:eastAsia="zh-CN"/>
        </w:rPr>
        <w:t>顾问</w:t>
      </w:r>
      <w:r>
        <w:rPr>
          <w:rFonts w:hint="eastAsia" w:ascii="仿宋_GB2312" w:hAnsi="仿宋_GB2312" w:eastAsia="仿宋_GB2312" w:cs="仿宋_GB2312"/>
          <w:sz w:val="24"/>
          <w:szCs w:val="24"/>
        </w:rPr>
        <w:t>有限公司</w:t>
      </w:r>
    </w:p>
    <w:p w14:paraId="233B3348">
      <w:pPr>
        <w:widowControl/>
        <w:wordWrap w:val="0"/>
        <w:spacing w:line="400" w:lineRule="exact"/>
        <w:ind w:right="1200"/>
        <w:jc w:val="righ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202</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年</w:t>
      </w:r>
      <w:r>
        <w:rPr>
          <w:rFonts w:hint="eastAsia" w:ascii="仿宋_GB2312" w:hAnsi="仿宋_GB2312" w:eastAsia="仿宋_GB2312" w:cs="仿宋_GB2312"/>
          <w:sz w:val="24"/>
          <w:szCs w:val="24"/>
          <w:u w:val="single"/>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lang w:val="en-US" w:eastAsia="zh-CN"/>
        </w:rPr>
        <w:t>17</w:t>
      </w:r>
      <w:r>
        <w:rPr>
          <w:rFonts w:hint="eastAsia" w:ascii="仿宋_GB2312" w:hAnsi="仿宋_GB2312" w:eastAsia="仿宋_GB2312" w:cs="仿宋_GB2312"/>
          <w:sz w:val="24"/>
          <w:szCs w:val="24"/>
        </w:rPr>
        <w:t>日</w:t>
      </w:r>
    </w:p>
    <w:p w14:paraId="4F1E5979">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br w:type="page"/>
      </w:r>
    </w:p>
    <w:p w14:paraId="09563432">
      <w:pPr>
        <w:keepNext/>
        <w:numPr>
          <w:ilvl w:val="0"/>
          <w:numId w:val="0"/>
        </w:numPr>
        <w:spacing w:line="400" w:lineRule="exact"/>
        <w:ind w:right="-441" w:rightChars="-210"/>
        <w:jc w:val="center"/>
        <w:outlineLvl w:val="0"/>
        <w:rPr>
          <w:rFonts w:ascii="仿宋_GB2312" w:hAnsi="Calibri" w:eastAsia="仿宋_GB2312" w:cs="Times New Roman"/>
          <w:b/>
          <w:sz w:val="32"/>
          <w:szCs w:val="32"/>
          <w:highlight w:val="none"/>
        </w:rPr>
      </w:pPr>
      <w:bookmarkStart w:id="1" w:name="_Toc130180737"/>
      <w:bookmarkStart w:id="2" w:name="_Toc130180923"/>
      <w:bookmarkStart w:id="3" w:name="_Toc130180842"/>
      <w:bookmarkStart w:id="4" w:name="_Toc334797738"/>
      <w:bookmarkStart w:id="5" w:name="_Toc238282338"/>
      <w:r>
        <w:rPr>
          <w:rFonts w:hint="eastAsia" w:ascii="仿宋_GB2312" w:hAnsi="Calibri" w:eastAsia="仿宋_GB2312" w:cs="Times New Roman"/>
          <w:b/>
          <w:sz w:val="32"/>
          <w:szCs w:val="32"/>
          <w:highlight w:val="none"/>
        </w:rPr>
        <w:t>竞选须知</w:t>
      </w:r>
    </w:p>
    <w:p w14:paraId="109536AB">
      <w:pPr>
        <w:spacing w:line="400" w:lineRule="exact"/>
        <w:rPr>
          <w:rFonts w:ascii="仿宋_GB2312" w:hAnsi="仿宋_GB2312" w:eastAsia="仿宋_GB2312" w:cs="仿宋_GB2312"/>
          <w:sz w:val="24"/>
          <w:szCs w:val="24"/>
        </w:rPr>
      </w:pPr>
    </w:p>
    <w:p w14:paraId="08EFA3A9">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一、总体说明</w:t>
      </w:r>
    </w:p>
    <w:p w14:paraId="2DB5819A">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 竞选适用范围</w:t>
      </w:r>
    </w:p>
    <w:p w14:paraId="7E95AE3B">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1.1 项目竞选服务于广州市城壹房地产</w:t>
      </w:r>
      <w:r>
        <w:rPr>
          <w:rFonts w:hint="eastAsia" w:ascii="仿宋_GB2312" w:hAnsi="仿宋_GB2312" w:eastAsia="仿宋_GB2312" w:cs="仿宋_GB2312"/>
          <w:szCs w:val="21"/>
          <w:lang w:val="en-US" w:eastAsia="zh-CN"/>
        </w:rPr>
        <w:t>顾问</w:t>
      </w:r>
      <w:r>
        <w:rPr>
          <w:rFonts w:hint="eastAsia" w:ascii="仿宋_GB2312" w:hAnsi="仿宋_GB2312" w:eastAsia="仿宋_GB2312" w:cs="仿宋_GB2312"/>
          <w:szCs w:val="21"/>
        </w:rPr>
        <w:t>有限公司。</w:t>
      </w:r>
    </w:p>
    <w:p w14:paraId="34C5B20E">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1.2 本竞选文件仅适用于本次公开竞选所叙述的花果山超高清视频产业特色小镇项目定位策划报告合作项目，本次竞选采用一次报价一次评标定标的方式，竞投人的报价必须固定，且只能根据采购方给予的方案作一个最有竞争力的设计和竞投人案，否则将作无效竞投处理。</w:t>
      </w:r>
    </w:p>
    <w:p w14:paraId="1FD6FFBD">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1.3 项目承包方式为合价包干形式。</w:t>
      </w:r>
    </w:p>
    <w:p w14:paraId="70CE1EDD">
      <w:pPr>
        <w:spacing w:line="400" w:lineRule="exact"/>
        <w:rPr>
          <w:rFonts w:ascii="仿宋_GB2312" w:hAnsi="仿宋_GB2312" w:eastAsia="仿宋_GB2312" w:cs="仿宋_GB2312"/>
          <w:sz w:val="24"/>
          <w:szCs w:val="24"/>
        </w:rPr>
      </w:pPr>
    </w:p>
    <w:p w14:paraId="5DF9EE72">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 定义及解释</w:t>
      </w:r>
    </w:p>
    <w:p w14:paraId="2D4576F4">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2.1 竞选文件中的标题仅起引导作用，而不应视为对竞选文件的内容的理解和解释。</w:t>
      </w:r>
    </w:p>
    <w:p w14:paraId="023089D7">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2.2 服务：指竞投人为满足竞选文件要求而提供的服务。</w:t>
      </w:r>
    </w:p>
    <w:p w14:paraId="5F3A4C7A">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2.3 采购方：</w:t>
      </w:r>
      <w:r>
        <w:rPr>
          <w:rFonts w:hint="eastAsia" w:ascii="仿宋_GB2312" w:hAnsi="仿宋_GB2312" w:eastAsia="仿宋_GB2312" w:cs="仿宋_GB2312"/>
          <w:szCs w:val="21"/>
        </w:rPr>
        <w:t>广州市城壹房地产</w:t>
      </w:r>
      <w:r>
        <w:rPr>
          <w:rFonts w:hint="eastAsia" w:ascii="仿宋_GB2312" w:hAnsi="仿宋_GB2312" w:eastAsia="仿宋_GB2312" w:cs="仿宋_GB2312"/>
          <w:szCs w:val="21"/>
          <w:lang w:val="en-US" w:eastAsia="zh-CN"/>
        </w:rPr>
        <w:t>顾问</w:t>
      </w:r>
      <w:r>
        <w:rPr>
          <w:rFonts w:hint="eastAsia" w:ascii="仿宋_GB2312" w:hAnsi="仿宋_GB2312" w:eastAsia="仿宋_GB2312" w:cs="仿宋_GB2312"/>
          <w:szCs w:val="21"/>
        </w:rPr>
        <w:t>有限公司</w:t>
      </w:r>
      <w:r>
        <w:rPr>
          <w:rFonts w:hint="eastAsia" w:ascii="仿宋_GB2312" w:hAnsi="仿宋_GB2312" w:eastAsia="仿宋_GB2312" w:cs="仿宋_GB2312"/>
          <w:szCs w:val="24"/>
        </w:rPr>
        <w:t>。</w:t>
      </w:r>
    </w:p>
    <w:p w14:paraId="6F4CD257">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2.4 竞投人：指与竞选文件规定要求一致，响应竞选，参加竞选竞争的合法公司。</w:t>
      </w:r>
    </w:p>
    <w:p w14:paraId="0BA119DE">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2.5 合格的竞投人：竞投人提供的所有服务，其来源地均应为中华人民共和国或与中华人民共和国有官方贸易关系的国家或地区。采购方将拒绝接受不合格的服务，并有权不予支付任何费用，同时保留追究相关责任的权利。</w:t>
      </w:r>
    </w:p>
    <w:p w14:paraId="432CE71A">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2.6 中标承判商：指经评标委员会评审推荐、采购方确认的获得本项目中标资格的竞投人。</w:t>
      </w:r>
    </w:p>
    <w:p w14:paraId="3C95A11D">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2.7 合同：指依据本次服务竞投结果签订的协议。</w:t>
      </w:r>
    </w:p>
    <w:p w14:paraId="70AE67A2">
      <w:pPr>
        <w:spacing w:line="400" w:lineRule="exact"/>
        <w:rPr>
          <w:rFonts w:ascii="仿宋_GB2312" w:hAnsi="宋体" w:eastAsia="仿宋_GB2312" w:cs="Times New Roman"/>
          <w:szCs w:val="24"/>
        </w:rPr>
      </w:pPr>
      <w:r>
        <w:rPr>
          <w:rFonts w:hint="eastAsia" w:ascii="仿宋_GB2312" w:hAnsi="宋体" w:eastAsia="仿宋_GB2312" w:cs="Times New Roman"/>
          <w:szCs w:val="24"/>
        </w:rPr>
        <w:t>2.8 日期：指公历日。</w:t>
      </w:r>
    </w:p>
    <w:p w14:paraId="02DB89A3">
      <w:pPr>
        <w:spacing w:line="400" w:lineRule="exact"/>
        <w:rPr>
          <w:rFonts w:ascii="仿宋_GB2312" w:hAnsi="宋体" w:eastAsia="仿宋_GB2312" w:cs="Times New Roman"/>
          <w:szCs w:val="24"/>
        </w:rPr>
      </w:pPr>
      <w:r>
        <w:rPr>
          <w:rFonts w:hint="eastAsia" w:ascii="仿宋_GB2312" w:hAnsi="宋体" w:eastAsia="仿宋_GB2312" w:cs="Times New Roman"/>
          <w:szCs w:val="24"/>
        </w:rPr>
        <w:t>2.9 竞投适用法律：本次竞投适用的主要法律法规为《中华人民共和国招标投标法》及国家和地方政府竞投相关法规。</w:t>
      </w:r>
    </w:p>
    <w:p w14:paraId="5CEDB3F9">
      <w:pPr>
        <w:spacing w:line="400" w:lineRule="exact"/>
        <w:rPr>
          <w:rFonts w:ascii="仿宋_GB2312" w:hAnsi="宋体" w:eastAsia="仿宋_GB2312" w:cs="Times New Roman"/>
          <w:sz w:val="24"/>
          <w:szCs w:val="24"/>
        </w:rPr>
      </w:pPr>
    </w:p>
    <w:p w14:paraId="52885CF0">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3. 竞投费用</w:t>
      </w:r>
    </w:p>
    <w:p w14:paraId="2DD99B4A">
      <w:pPr>
        <w:spacing w:line="400" w:lineRule="exact"/>
        <w:rPr>
          <w:rFonts w:ascii="仿宋_GB2312" w:hAnsi="宋体" w:eastAsia="仿宋_GB2312" w:cs="Times New Roman"/>
          <w:szCs w:val="24"/>
        </w:rPr>
      </w:pPr>
      <w:r>
        <w:rPr>
          <w:rFonts w:hint="eastAsia" w:ascii="仿宋_GB2312" w:hAnsi="宋体" w:eastAsia="仿宋_GB2312" w:cs="Times New Roman"/>
          <w:szCs w:val="24"/>
        </w:rPr>
        <w:t>3.1 本采购项目不设竞投保证金。</w:t>
      </w:r>
    </w:p>
    <w:p w14:paraId="279A51B7">
      <w:pPr>
        <w:spacing w:line="400" w:lineRule="exact"/>
        <w:rPr>
          <w:rFonts w:ascii="仿宋_GB2312" w:hAnsi="宋体" w:eastAsia="仿宋_GB2312" w:cs="Times New Roman"/>
          <w:szCs w:val="24"/>
        </w:rPr>
      </w:pPr>
      <w:r>
        <w:rPr>
          <w:rFonts w:hint="eastAsia" w:ascii="仿宋_GB2312" w:hAnsi="宋体" w:eastAsia="仿宋_GB2312" w:cs="Times New Roman"/>
          <w:szCs w:val="24"/>
        </w:rPr>
        <w:t>3.2竞投人自行承担所有与编写和提交竞投文件的有关一切费用。</w:t>
      </w:r>
    </w:p>
    <w:p w14:paraId="6C4C1B75">
      <w:pPr>
        <w:spacing w:line="400" w:lineRule="exact"/>
        <w:rPr>
          <w:rFonts w:ascii="Calibri" w:hAnsi="Calibri" w:eastAsia="宋体" w:cs="Times New Roman"/>
          <w:szCs w:val="24"/>
        </w:rPr>
      </w:pPr>
    </w:p>
    <w:p w14:paraId="04F9B0E1">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二、竞投文件</w:t>
      </w:r>
    </w:p>
    <w:p w14:paraId="4CD3A267">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4. 竞投文件的构成</w:t>
      </w:r>
    </w:p>
    <w:p w14:paraId="035EBA48">
      <w:pPr>
        <w:spacing w:line="400" w:lineRule="exact"/>
        <w:rPr>
          <w:rFonts w:ascii="仿宋_GB2312" w:hAnsi="宋体" w:eastAsia="仿宋_GB2312" w:cs="Times New Roman"/>
          <w:szCs w:val="24"/>
        </w:rPr>
      </w:pPr>
      <w:r>
        <w:rPr>
          <w:rFonts w:hint="eastAsia" w:ascii="仿宋_GB2312" w:hAnsi="宋体" w:eastAsia="仿宋_GB2312" w:cs="Times New Roman"/>
          <w:szCs w:val="24"/>
        </w:rPr>
        <w:t>4.1 关于竞投文件：竞投文件是采购方作为阐明所需服务的基本要求，竞投文件、评选结果、合同书和相关承诺确认文件均作为任何一方当事人履约的重要依据。</w:t>
      </w:r>
    </w:p>
    <w:p w14:paraId="72B7A543">
      <w:pPr>
        <w:spacing w:line="400" w:lineRule="exact"/>
        <w:rPr>
          <w:rFonts w:ascii="仿宋_GB2312" w:hAnsi="宋体" w:eastAsia="仿宋_GB2312" w:cs="Times New Roman"/>
          <w:szCs w:val="24"/>
        </w:rPr>
      </w:pPr>
      <w:r>
        <w:rPr>
          <w:rFonts w:hint="eastAsia" w:ascii="仿宋_GB2312" w:hAnsi="宋体" w:eastAsia="仿宋_GB2312" w:cs="Times New Roman"/>
          <w:szCs w:val="24"/>
        </w:rPr>
        <w:t>4.2 竞投文件应装钉牢固不可拆卸，如因装钉不牢固导致的任何损失由竞投人承担。</w:t>
      </w:r>
    </w:p>
    <w:p w14:paraId="49E6F88A">
      <w:pPr>
        <w:spacing w:line="400" w:lineRule="exact"/>
        <w:rPr>
          <w:rFonts w:ascii="仿宋_GB2312" w:hAnsi="宋体" w:eastAsia="仿宋_GB2312" w:cs="Times New Roman"/>
          <w:szCs w:val="24"/>
        </w:rPr>
      </w:pPr>
      <w:r>
        <w:rPr>
          <w:rFonts w:hint="eastAsia" w:ascii="仿宋_GB2312" w:hAnsi="宋体" w:eastAsia="仿宋_GB2312" w:cs="Times New Roman"/>
          <w:szCs w:val="24"/>
        </w:rPr>
        <w:t>4.3 所有竞投文件（除特殊规格的图纸等外）应按A4规格制作。</w:t>
      </w:r>
    </w:p>
    <w:p w14:paraId="2FE65A88">
      <w:pPr>
        <w:spacing w:line="400" w:lineRule="exact"/>
        <w:rPr>
          <w:rFonts w:ascii="仿宋_GB2312" w:hAnsi="宋体" w:eastAsia="仿宋_GB2312" w:cs="Times New Roman"/>
          <w:szCs w:val="24"/>
        </w:rPr>
      </w:pPr>
      <w:r>
        <w:rPr>
          <w:rFonts w:hint="eastAsia" w:ascii="仿宋_GB2312" w:hAnsi="宋体" w:eastAsia="仿宋_GB2312" w:cs="Times New Roman"/>
          <w:szCs w:val="24"/>
        </w:rPr>
        <w:t>4.4 竞投人应认真阅读竞投文件中所有的事项、格式、条款等。竞投人没有按照竞投文件要求提交全部资料，或者竞投文件中没有对各方面作实质响应致使竞投人存在相关风险的，可能导致其竞投被拒绝。</w:t>
      </w:r>
    </w:p>
    <w:p w14:paraId="16D7050F">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4.5 竞投人如对竞选文件有任何疑问，均应在规定时间的竞投答疑会上或前以书面形式（包括书面文字、电传、传真、电报等，应加盖公章）向采购方提出澄清要求。</w:t>
      </w:r>
    </w:p>
    <w:p w14:paraId="6C43D854">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4.6 对竞投文件进行必要的澄清修改或对竞投人澄清要求的回复，采购方将视情况确定采用适当方式予以澄清或以书面形式予以答复，并在其认为必要时，将不标明询问来源的书面答复发送给每个购买竞选文件的竞投人；竞投人在收到澄清或修改通知后24小时内应立即以书面形式（应加盖公章）予以确认，逾期不提交书面确认的，视为已确认。</w:t>
      </w:r>
    </w:p>
    <w:p w14:paraId="324D6093">
      <w:pPr>
        <w:spacing w:line="400" w:lineRule="exact"/>
        <w:rPr>
          <w:rFonts w:hint="eastAsia" w:ascii="仿宋_GB2312" w:hAnsi="仿宋_GB2312" w:eastAsia="仿宋_GB2312" w:cs="仿宋_GB2312"/>
          <w:szCs w:val="24"/>
        </w:rPr>
      </w:pPr>
      <w:r>
        <w:rPr>
          <w:rFonts w:hint="eastAsia" w:ascii="仿宋_GB2312" w:hAnsi="仿宋_GB2312" w:eastAsia="仿宋_GB2312" w:cs="仿宋_GB2312"/>
          <w:szCs w:val="24"/>
        </w:rPr>
        <w:t>4.7 竞选过程中的一切修改文件或补充文件一旦确认后与竞投文件具有同等法律效力，竞投人有责任履行相应的义务。</w:t>
      </w:r>
    </w:p>
    <w:p w14:paraId="500152B2">
      <w:pPr>
        <w:spacing w:line="400" w:lineRule="exact"/>
        <w:rPr>
          <w:rFonts w:hint="eastAsia" w:ascii="仿宋_GB2312" w:hAnsi="仿宋_GB2312" w:eastAsia="仿宋_GB2312" w:cs="仿宋_GB2312"/>
          <w:szCs w:val="24"/>
        </w:rPr>
      </w:pPr>
    </w:p>
    <w:p w14:paraId="7EFB7461">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5. 竞选文件的修改与撤回</w:t>
      </w:r>
    </w:p>
    <w:p w14:paraId="170DE360">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5.1 在竞投截止时间之前，竞投人可以修改或撤回其竞投文件，但须书面通知采购方。</w:t>
      </w:r>
    </w:p>
    <w:p w14:paraId="6C991C49">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5.2 在竞投截止时间之后，采购方不接受竞投人对竞投文件做任何修改及撤回。</w:t>
      </w:r>
    </w:p>
    <w:p w14:paraId="53C5CBF7">
      <w:pPr>
        <w:spacing w:line="400" w:lineRule="exact"/>
        <w:rPr>
          <w:rFonts w:ascii="仿宋_GB2312" w:hAnsi="仿宋_GB2312" w:eastAsia="仿宋_GB2312" w:cs="仿宋_GB2312"/>
          <w:sz w:val="24"/>
          <w:szCs w:val="24"/>
        </w:rPr>
      </w:pPr>
    </w:p>
    <w:p w14:paraId="18611C17">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三、竞投文件的编制</w:t>
      </w:r>
    </w:p>
    <w:p w14:paraId="26192845">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6. 竞投语言及计量</w:t>
      </w:r>
    </w:p>
    <w:p w14:paraId="44D70F20">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6.1 竞投文件以及竞投人为采购方就有关竞投的往来函电均使用中文。竞投人提交的支持性文件和印制的文件可以用另一种语言，但相应内容应翻译成中文，在解释竞投文件时以中文文本为准。</w:t>
      </w:r>
    </w:p>
    <w:p w14:paraId="3EC71F01">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6.2 竞投人必须以人民币报价。竞投文件的大写金额和小写金额不一致的，以大写金额为准；总价金额与按单价汇总金额不一致的，以单价金额计算结果为准；单价金额小数点有明显错位的，应以总价为准，并修改单价</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对不同文字文本竞投文件的解释发生异议的，以中文文本为准。</w:t>
      </w:r>
    </w:p>
    <w:p w14:paraId="40C4649A">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6.3 竞投人须按照竞选文件指定的格式填写各种价格单，价格单中的报价应计算正确。</w:t>
      </w:r>
    </w:p>
    <w:p w14:paraId="2BA8F462">
      <w:pPr>
        <w:spacing w:line="400" w:lineRule="exact"/>
        <w:rPr>
          <w:rFonts w:ascii="仿宋_GB2312" w:hAnsi="仿宋_GB2312" w:eastAsia="仿宋_GB2312" w:cs="仿宋_GB2312"/>
          <w:sz w:val="24"/>
          <w:szCs w:val="24"/>
        </w:rPr>
      </w:pPr>
    </w:p>
    <w:p w14:paraId="3F85B1AD">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7. 竞投文件内容</w:t>
      </w:r>
    </w:p>
    <w:p w14:paraId="454264FA">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7.1 竞投人编写的竞投文件及排序应包括下列部分：</w:t>
      </w:r>
    </w:p>
    <w:p w14:paraId="192E8C76">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（1）竞投人公司资质等相关证明文件；</w:t>
      </w:r>
    </w:p>
    <w:p w14:paraId="78CBAB27">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（2）项目服务建议书（参考附件7）；</w:t>
      </w:r>
    </w:p>
    <w:p w14:paraId="66E3752B">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（3）服务响应文件，包括但不限于以下内容：</w:t>
      </w:r>
    </w:p>
    <w:p w14:paraId="797DF010">
      <w:pPr>
        <w:spacing w:line="400" w:lineRule="exact"/>
        <w:ind w:firstLine="420" w:firstLineChars="200"/>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按本须知规定填写的项目竞选函（参考见附件2），法定代表人证明及授权书（参考附件3），竞投汇总表（参考附件4），资格文件声明的函（参考附件5）及业绩一览表（参考见附件6）；</w:t>
      </w:r>
    </w:p>
    <w:p w14:paraId="4B953C92">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7.2 竞投文件按规定加盖的竞投人公章必须为企业法人公章，且与竞投人名称一致，不能以其它业务章或附属机构章代替。需签名之处必须由当事人亲笔签署或当事人签字章。</w:t>
      </w:r>
    </w:p>
    <w:p w14:paraId="4E7C4A6E">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7.3 竞投人应对竞投内容提供完整的、详细的、清晰的方案说明，如竞投人对指定的要求建议做任何改动，应在竞投文件中清楚地注明；竞投人对</w:t>
      </w:r>
      <w:r>
        <w:rPr>
          <w:rFonts w:hint="eastAsia" w:ascii="仿宋_GB2312" w:hAnsi="仿宋_GB2312" w:eastAsia="仿宋_GB2312" w:cs="仿宋_GB2312"/>
          <w:szCs w:val="24"/>
        </w:rPr>
        <w:t>竞选</w:t>
      </w:r>
      <w:r>
        <w:rPr>
          <w:rFonts w:hint="eastAsia" w:ascii="仿宋_GB2312" w:hAnsi="仿宋_GB2312" w:eastAsia="仿宋_GB2312" w:cs="仿宋_GB2312"/>
          <w:szCs w:val="21"/>
        </w:rPr>
        <w:t>文件的对应要求应当给予唯一的实质性响应，否则将视为不响应。技术参数要求中标注有具体数值要求的，竞投人必须在服务响应文件中标注实际数值，不标注数值者视为不响应。</w:t>
      </w:r>
    </w:p>
    <w:p w14:paraId="648E371E">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7.4 竞投人应对项目可能涉及的相关知识产权归属进行标注、说明或提交官方证明文件，如技术专利、创新方法论工具等；同时应对因本项目所产生的推广创意设计图文等知识产权归属进行说明，第一归属方为广州市城壹房地产</w:t>
      </w:r>
      <w:r>
        <w:rPr>
          <w:rFonts w:hint="eastAsia" w:ascii="仿宋_GB2312" w:hAnsi="仿宋_GB2312" w:eastAsia="仿宋_GB2312" w:cs="仿宋_GB2312"/>
          <w:szCs w:val="21"/>
          <w:lang w:val="en-US" w:eastAsia="zh-CN"/>
        </w:rPr>
        <w:t>顾问</w:t>
      </w:r>
      <w:r>
        <w:rPr>
          <w:rFonts w:hint="eastAsia" w:ascii="仿宋_GB2312" w:hAnsi="仿宋_GB2312" w:eastAsia="仿宋_GB2312" w:cs="仿宋_GB2312"/>
          <w:szCs w:val="21"/>
        </w:rPr>
        <w:t>有限公司。</w:t>
      </w:r>
    </w:p>
    <w:p w14:paraId="218A7289">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7.5参与本采购项目的竞投人须接受及保证，采购人在中华人民共和国境内使用</w:t>
      </w:r>
      <w:r>
        <w:rPr>
          <w:rFonts w:hint="eastAsia" w:ascii="仿宋_GB2312" w:hAnsi="仿宋_GB2312" w:eastAsia="仿宋_GB2312" w:cs="仿宋_GB2312"/>
          <w:szCs w:val="24"/>
        </w:rPr>
        <w:t>竞选</w:t>
      </w:r>
      <w:r>
        <w:rPr>
          <w:rFonts w:hint="eastAsia" w:ascii="仿宋_GB2312" w:hAnsi="仿宋_GB2312" w:eastAsia="仿宋_GB2312" w:cs="仿宋_GB2312"/>
          <w:szCs w:val="21"/>
        </w:rPr>
        <w:t>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p w14:paraId="005AF37A">
      <w:pPr>
        <w:spacing w:line="400" w:lineRule="exact"/>
        <w:rPr>
          <w:rFonts w:ascii="仿宋_GB2312" w:hAnsi="仿宋_GB2312" w:eastAsia="仿宋_GB2312" w:cs="仿宋_GB2312"/>
          <w:szCs w:val="21"/>
        </w:rPr>
      </w:pPr>
    </w:p>
    <w:p w14:paraId="62081628">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8. 竞投文件交付要求</w:t>
      </w:r>
    </w:p>
    <w:p w14:paraId="4609AED2">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8.1 全部竞投文件应一式五份密封提交，其中，正本（纸质）一份，副本（纸质）四份，在文件封面右上角显着注明“正本”和“副本”字样，并加盖公章。副本内容可采用正本的复印件。一旦正本与副本不符，以正本为准。竞投文件须由竞投人的合法授权代表正式签署，任何涂改或修正（如有）必须由原签署人签字确认。</w:t>
      </w:r>
    </w:p>
    <w:p w14:paraId="6CB6A272">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8.2 所有竞投文件及样板（如有）应在竞投截止时间前送达竞投文件递交地点（时间及地点以第一章竞投邀请为准），凭法人代表证明书及授权人委托书及委托人身份证（仅限于法人不出席的情况下）原件，并当面交予采购方，采购方将拒绝以下情况之一的竞投文件：</w:t>
      </w:r>
    </w:p>
    <w:p w14:paraId="660270E1">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 迟于竞投截止时间递交的；</w:t>
      </w:r>
    </w:p>
    <w:p w14:paraId="516643E1">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 以电报、电话、电传、传真或邮递形式递交的；</w:t>
      </w:r>
    </w:p>
    <w:p w14:paraId="19AAD35B">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（3） 密封不严、册装不整的；</w:t>
      </w:r>
    </w:p>
    <w:p w14:paraId="6B6AF905">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8.3 所有竞投文件必须封入密封完好的信封或包装，封口加盖竞投单位公章。并在信封或包装的封面上写明：</w:t>
      </w:r>
    </w:p>
    <w:p w14:paraId="65FC363A">
      <w:pPr>
        <w:spacing w:line="400" w:lineRule="exact"/>
        <w:rPr>
          <w:rFonts w:hint="eastAsia" w:ascii="仿宋_GB2312" w:hAnsi="仿宋_GB2312" w:eastAsia="仿宋_GB2312" w:cs="仿宋_GB2312"/>
          <w:szCs w:val="21"/>
        </w:rPr>
      </w:pPr>
    </w:p>
    <w:p w14:paraId="323D4A35">
      <w:pPr>
        <w:spacing w:line="400" w:lineRule="exact"/>
        <w:rPr>
          <w:rFonts w:ascii="仿宋_GB2312" w:hAnsi="仿宋_GB2312" w:eastAsia="仿宋_GB2312" w:cs="仿宋_GB2312"/>
          <w:szCs w:val="21"/>
        </w:rPr>
      </w:pPr>
      <w:r>
        <w:rPr>
          <w:rFonts w:ascii="Calibri" w:hAnsi="Calibri" w:eastAsia="宋体" w:cs="Times New Roman"/>
          <w:szCs w:val="21"/>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43815</wp:posOffset>
                </wp:positionV>
                <wp:extent cx="3785870" cy="1441450"/>
                <wp:effectExtent l="4445" t="4445" r="19685" b="2095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785870" cy="1441450"/>
                        </a:xfrm>
                        <a:prstGeom prst="rect">
                          <a:avLst/>
                        </a:prstGeom>
                        <a:solidFill>
                          <a:srgbClr val="FFFFFF"/>
                        </a:solidFill>
                        <a:ln w="9525">
                          <a:solidFill>
                            <a:srgbClr val="000000"/>
                          </a:solidFill>
                          <a:miter lim="800000"/>
                        </a:ln>
                      </wps:spPr>
                      <wps:txbx>
                        <w:txbxContent>
                          <w:p w14:paraId="44719F68">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w:t>
                            </w:r>
                            <w:r>
                              <w:rPr>
                                <w:rFonts w:hint="eastAsia" w:ascii="微软雅黑" w:hAnsi="微软雅黑" w:eastAsia="微软雅黑" w:cs="仿宋_GB2312"/>
                                <w:sz w:val="18"/>
                                <w:szCs w:val="18"/>
                                <w:lang w:val="en-US" w:eastAsia="zh-CN"/>
                              </w:rPr>
                              <w:t>顾问</w:t>
                            </w:r>
                            <w:r>
                              <w:rPr>
                                <w:rFonts w:hint="eastAsia" w:ascii="微软雅黑" w:hAnsi="微软雅黑" w:eastAsia="微软雅黑" w:cs="仿宋_GB2312"/>
                                <w:sz w:val="18"/>
                                <w:szCs w:val="18"/>
                              </w:rPr>
                              <w:t>有限公司</w:t>
                            </w:r>
                          </w:p>
                          <w:p w14:paraId="6224FAC6">
                            <w:pPr>
                              <w:rPr>
                                <w:rFonts w:hint="eastAsia" w:ascii="微软雅黑" w:hAnsi="微软雅黑" w:eastAsia="微软雅黑" w:cs="仿宋_GB2312"/>
                                <w:sz w:val="18"/>
                                <w:szCs w:val="18"/>
                              </w:rPr>
                            </w:pPr>
                            <w:r>
                              <w:rPr>
                                <w:rFonts w:hint="eastAsia" w:ascii="微软雅黑" w:hAnsi="微软雅黑" w:eastAsia="微软雅黑" w:cs="仿宋_GB2312"/>
                                <w:sz w:val="18"/>
                                <w:szCs w:val="18"/>
                              </w:rPr>
                              <w:t>项目名称：花果山超高清视频产业特色小镇项目定位策划报告合作项目</w:t>
                            </w:r>
                          </w:p>
                          <w:p w14:paraId="1739E0FD">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14:paraId="5515439A">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14:paraId="4E77BD9E">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14:paraId="74C1A051">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14:paraId="30871C00">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pt;margin-top:3.45pt;height:113.5pt;width:298.1pt;z-index:251659264;mso-width-relative:page;mso-height-relative:page;" fillcolor="#FFFFFF" filled="t" stroked="t" coordsize="21600,21600" o:gfxdata="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2wmHj1gAAAAcBAAAPAAAAAAAAAAEAIAAAACIA&#10;AABkcnMvZG93bnJldi54bWxQSwECFAAUAAAACACHTuJAZ9ikHEQCAACIBAAADgAAAAAAAAABACAA&#10;AAAlAQAAZHJzL2Uyb0RvYy54bWxQSwUGAAAAAAYABgBZAQAA2wUAAAAA&#10;">
                <v:fill on="t" focussize="0,0"/>
                <v:stroke color="#000000" miterlimit="8" joinstyle="miter"/>
                <v:imagedata o:title=""/>
                <o:lock v:ext="edit" aspectratio="f"/>
                <v:textbox>
                  <w:txbxContent>
                    <w:p w14:paraId="44719F68">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w:t>
                      </w:r>
                      <w:r>
                        <w:rPr>
                          <w:rFonts w:hint="eastAsia" w:ascii="微软雅黑" w:hAnsi="微软雅黑" w:eastAsia="微软雅黑" w:cs="仿宋_GB2312"/>
                          <w:sz w:val="18"/>
                          <w:szCs w:val="18"/>
                          <w:lang w:val="en-US" w:eastAsia="zh-CN"/>
                        </w:rPr>
                        <w:t>顾问</w:t>
                      </w:r>
                      <w:r>
                        <w:rPr>
                          <w:rFonts w:hint="eastAsia" w:ascii="微软雅黑" w:hAnsi="微软雅黑" w:eastAsia="微软雅黑" w:cs="仿宋_GB2312"/>
                          <w:sz w:val="18"/>
                          <w:szCs w:val="18"/>
                        </w:rPr>
                        <w:t>有限公司</w:t>
                      </w:r>
                    </w:p>
                    <w:p w14:paraId="6224FAC6">
                      <w:pPr>
                        <w:rPr>
                          <w:rFonts w:hint="eastAsia" w:ascii="微软雅黑" w:hAnsi="微软雅黑" w:eastAsia="微软雅黑" w:cs="仿宋_GB2312"/>
                          <w:sz w:val="18"/>
                          <w:szCs w:val="18"/>
                        </w:rPr>
                      </w:pPr>
                      <w:r>
                        <w:rPr>
                          <w:rFonts w:hint="eastAsia" w:ascii="微软雅黑" w:hAnsi="微软雅黑" w:eastAsia="微软雅黑" w:cs="仿宋_GB2312"/>
                          <w:sz w:val="18"/>
                          <w:szCs w:val="18"/>
                        </w:rPr>
                        <w:t>项目名称：花果山超高清视频产业特色小镇项目定位策划报告合作项目</w:t>
                      </w:r>
                    </w:p>
                    <w:p w14:paraId="1739E0FD">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14:paraId="5515439A">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14:paraId="4E77BD9E">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14:paraId="74C1A051">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14:paraId="30871C00">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v:textbox>
              </v:shape>
            </w:pict>
          </mc:Fallback>
        </mc:AlternateContent>
      </w:r>
    </w:p>
    <w:p w14:paraId="38BA639E">
      <w:pPr>
        <w:spacing w:line="400" w:lineRule="exact"/>
        <w:rPr>
          <w:rFonts w:ascii="仿宋_GB2312" w:hAnsi="仿宋_GB2312" w:eastAsia="仿宋_GB2312" w:cs="仿宋_GB2312"/>
          <w:szCs w:val="21"/>
        </w:rPr>
      </w:pPr>
    </w:p>
    <w:p w14:paraId="6EDBF596">
      <w:pPr>
        <w:spacing w:line="400" w:lineRule="exact"/>
        <w:rPr>
          <w:rFonts w:ascii="仿宋_GB2312" w:hAnsi="仿宋_GB2312" w:eastAsia="仿宋_GB2312" w:cs="仿宋_GB2312"/>
          <w:szCs w:val="21"/>
        </w:rPr>
      </w:pPr>
    </w:p>
    <w:p w14:paraId="659F17EB">
      <w:pPr>
        <w:spacing w:line="400" w:lineRule="exact"/>
        <w:rPr>
          <w:rFonts w:ascii="仿宋_GB2312" w:hAnsi="仿宋_GB2312" w:eastAsia="仿宋_GB2312" w:cs="仿宋_GB2312"/>
          <w:szCs w:val="21"/>
        </w:rPr>
      </w:pPr>
    </w:p>
    <w:p w14:paraId="2ED09A7D">
      <w:pPr>
        <w:spacing w:line="400" w:lineRule="exact"/>
        <w:rPr>
          <w:rFonts w:ascii="仿宋_GB2312" w:hAnsi="仿宋_GB2312" w:eastAsia="仿宋_GB2312" w:cs="仿宋_GB2312"/>
          <w:szCs w:val="21"/>
        </w:rPr>
      </w:pPr>
    </w:p>
    <w:p w14:paraId="162C1862">
      <w:pPr>
        <w:spacing w:line="400" w:lineRule="exact"/>
        <w:rPr>
          <w:rFonts w:ascii="仿宋_GB2312" w:hAnsi="仿宋_GB2312" w:eastAsia="仿宋_GB2312" w:cs="仿宋_GB2312"/>
          <w:szCs w:val="21"/>
        </w:rPr>
      </w:pPr>
    </w:p>
    <w:p w14:paraId="6D457C40">
      <w:pPr>
        <w:numPr>
          <w:ilvl w:val="0"/>
          <w:numId w:val="2"/>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采购方对不可抗力事件造成的竞投文件的损坏、丢失不承担任何责任。</w:t>
      </w:r>
    </w:p>
    <w:p w14:paraId="724A4141">
      <w:pPr>
        <w:numPr>
          <w:ilvl w:val="0"/>
          <w:numId w:val="2"/>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采购方不退还竞投人的竞投文件及递交的其它资料。</w:t>
      </w:r>
    </w:p>
    <w:p w14:paraId="766A6C52">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8.4竞投文件递交</w:t>
      </w:r>
    </w:p>
    <w:p w14:paraId="32E19593">
      <w:pPr>
        <w:numPr>
          <w:ilvl w:val="0"/>
          <w:numId w:val="3"/>
        </w:numPr>
        <w:spacing w:line="40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递交地点：广州市越秀区</w:t>
      </w:r>
      <w:r>
        <w:rPr>
          <w:rFonts w:hint="eastAsia" w:ascii="仿宋_GB2312" w:hAnsi="仿宋_GB2312" w:eastAsia="仿宋_GB2312" w:cs="仿宋_GB2312"/>
          <w:szCs w:val="21"/>
          <w:highlight w:val="none"/>
          <w:lang w:val="en-US" w:eastAsia="zh-CN"/>
        </w:rPr>
        <w:t>流花路流花展贸中心13号馆2楼</w:t>
      </w:r>
      <w:r>
        <w:rPr>
          <w:rFonts w:hint="eastAsia" w:ascii="仿宋_GB2312" w:hAnsi="仿宋_GB2312" w:eastAsia="仿宋_GB2312" w:cs="仿宋_GB2312"/>
          <w:szCs w:val="21"/>
          <w:highlight w:val="none"/>
        </w:rPr>
        <w:t>。</w:t>
      </w:r>
    </w:p>
    <w:p w14:paraId="521D6EB7">
      <w:pPr>
        <w:numPr>
          <w:ilvl w:val="0"/>
          <w:numId w:val="0"/>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（2）竞投文件递交受理时间于2025年1月22日上午10时30分00秒截止；逾期不予受理。</w:t>
      </w:r>
    </w:p>
    <w:p w14:paraId="5932568E">
      <w:pPr>
        <w:spacing w:line="400" w:lineRule="exact"/>
        <w:rPr>
          <w:rFonts w:ascii="Calibri" w:hAnsi="Calibri" w:eastAsia="宋体" w:cs="Times New Roman"/>
          <w:szCs w:val="24"/>
        </w:rPr>
      </w:pPr>
      <w:r>
        <w:rPr>
          <w:rFonts w:ascii="Calibri" w:hAnsi="Calibri" w:eastAsia="宋体" w:cs="Times New Roman"/>
          <w:szCs w:val="24"/>
        </w:rPr>
        <w:br w:type="page"/>
      </w:r>
      <w:r>
        <w:rPr>
          <w:rFonts w:hint="eastAsia" w:ascii="仿宋_GB2312" w:hAnsi="Calibri" w:eastAsia="仿宋_GB2312" w:cs="Times New Roman"/>
          <w:b/>
          <w:sz w:val="32"/>
          <w:szCs w:val="32"/>
          <w:highlight w:val="none"/>
        </w:rPr>
        <w:t>三、评审/选定方法及标准</w:t>
      </w:r>
    </w:p>
    <w:p w14:paraId="355A8144">
      <w:pPr>
        <w:spacing w:line="400" w:lineRule="exact"/>
        <w:rPr>
          <w:rFonts w:ascii="Calibri" w:hAnsi="Calibri" w:eastAsia="宋体" w:cs="Times New Roman"/>
          <w:szCs w:val="24"/>
        </w:rPr>
      </w:pP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14:paraId="16444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B838D78">
            <w:pPr>
              <w:spacing w:line="400" w:lineRule="exact"/>
              <w:ind w:right="-358"/>
              <w:jc w:val="left"/>
              <w:rPr>
                <w:rFonts w:ascii="仿宋_GB2312" w:hAnsi="宋体" w:eastAsia="仿宋_GB2312" w:cs="Times New Roman"/>
                <w:bCs/>
                <w:szCs w:val="21"/>
              </w:rPr>
            </w:pPr>
            <w:r>
              <w:rPr>
                <w:rFonts w:hint="eastAsia" w:ascii="仿宋_GB2312" w:hAnsi="宋体" w:eastAsia="仿宋_GB2312" w:cs="Times New Roman"/>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14:paraId="4706DE10">
            <w:pPr>
              <w:spacing w:line="400" w:lineRule="exact"/>
              <w:jc w:val="center"/>
              <w:rPr>
                <w:rFonts w:ascii="仿宋_GB2312" w:hAnsi="宋体" w:eastAsia="仿宋_GB2312" w:cs="Times New Roman"/>
                <w:bCs/>
                <w:szCs w:val="21"/>
              </w:rPr>
            </w:pPr>
            <w:r>
              <w:rPr>
                <w:rFonts w:hint="eastAsia" w:ascii="仿宋_GB2312" w:hAnsi="宋体" w:eastAsia="仿宋_GB2312" w:cs="Times New Roman"/>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14:paraId="1FB3C668">
            <w:pPr>
              <w:tabs>
                <w:tab w:val="left" w:pos="1180"/>
              </w:tabs>
              <w:spacing w:line="400" w:lineRule="exact"/>
              <w:jc w:val="center"/>
              <w:rPr>
                <w:rFonts w:ascii="仿宋_GB2312" w:hAnsi="宋体" w:eastAsia="仿宋_GB2312" w:cs="Times New Roman"/>
                <w:bCs/>
                <w:szCs w:val="21"/>
              </w:rPr>
            </w:pPr>
            <w:r>
              <w:rPr>
                <w:rFonts w:hint="eastAsia" w:ascii="仿宋_GB2312" w:hAnsi="宋体" w:eastAsia="仿宋_GB2312" w:cs="Times New Roman"/>
                <w:bCs/>
                <w:szCs w:val="21"/>
              </w:rPr>
              <w:t>说明与要求</w:t>
            </w:r>
          </w:p>
        </w:tc>
      </w:tr>
      <w:tr w14:paraId="619B1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7DD2867">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14:paraId="6591C72D">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14:paraId="5B66E941">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按有关法律、法律及相关规定组建评审小组负责本次采购项目具体评审工作，本着公平、公正、科学、择优的原则，按照采购文件的要求/标准推荐评审结果。</w:t>
            </w:r>
          </w:p>
        </w:tc>
      </w:tr>
      <w:tr w14:paraId="754E1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6E55BD37">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14:paraId="0A110C1D">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14:paraId="01A8AAFB">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1. 评审小组将根据采购文件的规定，对各竞投文件进行资格及符合性审查。（具体审查标准见后附表）</w:t>
            </w:r>
          </w:p>
          <w:p w14:paraId="57E12902">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2. 符合性审查结论意见采取少数服从多数原则，即超过半数评审人员的结论为“通过”则该竞投人通过资格及符合性审查，否则不通过。</w:t>
            </w:r>
          </w:p>
          <w:p w14:paraId="792A4824">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3. 不能通过资格及符合性审查的竞投文件，不得参与综合评审打分。</w:t>
            </w:r>
          </w:p>
        </w:tc>
      </w:tr>
      <w:tr w14:paraId="455A8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2698481B">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14:paraId="23FD66EB">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评审标准</w:t>
            </w:r>
          </w:p>
          <w:p w14:paraId="78312A3E">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及定标授标</w:t>
            </w:r>
          </w:p>
        </w:tc>
        <w:tc>
          <w:tcPr>
            <w:tcW w:w="6624" w:type="dxa"/>
            <w:tcBorders>
              <w:top w:val="single" w:color="auto" w:sz="4" w:space="0"/>
              <w:left w:val="single" w:color="auto" w:sz="4" w:space="0"/>
              <w:bottom w:val="single" w:color="auto" w:sz="4" w:space="0"/>
              <w:right w:val="single" w:color="auto" w:sz="4" w:space="0"/>
            </w:tcBorders>
            <w:vAlign w:val="center"/>
          </w:tcPr>
          <w:p w14:paraId="79247B52">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1.评标小组评委由广州市城壹房地产</w:t>
            </w:r>
            <w:r>
              <w:rPr>
                <w:rFonts w:hint="eastAsia" w:ascii="仿宋_GB2312" w:hAnsi="宋体" w:eastAsia="仿宋_GB2312" w:cs="Times New Roman"/>
                <w:szCs w:val="21"/>
                <w:lang w:val="en-US" w:eastAsia="zh-CN"/>
              </w:rPr>
              <w:t>顾问</w:t>
            </w:r>
            <w:r>
              <w:rPr>
                <w:rFonts w:hint="eastAsia" w:ascii="仿宋_GB2312" w:hAnsi="宋体" w:eastAsia="仿宋_GB2312" w:cs="Times New Roman"/>
                <w:szCs w:val="21"/>
              </w:rPr>
              <w:t>有限公司相关人员组成，由评委对已通过符合性检查竞投人的竞投文件，逐项列出竞投文件的全部竞投偏差。</w:t>
            </w:r>
          </w:p>
          <w:p w14:paraId="14934828">
            <w:pPr>
              <w:widowControl/>
              <w:spacing w:line="400" w:lineRule="exact"/>
              <w:rPr>
                <w:rFonts w:ascii="仿宋_GB2312" w:hAnsi="宋体" w:eastAsia="仿宋_GB2312" w:cs="宋体"/>
                <w:kern w:val="0"/>
                <w:szCs w:val="21"/>
              </w:rPr>
            </w:pPr>
            <w:r>
              <w:rPr>
                <w:rFonts w:hint="eastAsia" w:ascii="仿宋_GB2312" w:hAnsi="宋体" w:eastAsia="仿宋_GB2312" w:cs="Times New Roman"/>
                <w:szCs w:val="21"/>
              </w:rPr>
              <w:t>2.</w:t>
            </w:r>
            <w:r>
              <w:rPr>
                <w:rFonts w:hint="eastAsia" w:ascii="仿宋_GB2312" w:hAnsi="宋体" w:eastAsia="仿宋_GB2312" w:cs="宋体"/>
                <w:kern w:val="0"/>
                <w:szCs w:val="21"/>
              </w:rPr>
              <w:t>商务评分：</w:t>
            </w:r>
          </w:p>
          <w:p w14:paraId="20882BBE">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cs="宋体"/>
                <w:kern w:val="0"/>
                <w:szCs w:val="21"/>
                <w:lang w:val="en-US" w:eastAsia="zh-CN"/>
              </w:rPr>
              <w:t>=</w:t>
            </w:r>
            <w:r>
              <w:rPr>
                <w:rFonts w:hint="eastAsia" w:ascii="仿宋_GB2312" w:hAnsi="宋体" w:eastAsia="仿宋_GB2312" w:cs="Times New Roman"/>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14:paraId="76F5A5FE">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3.项目方案评分：</w:t>
            </w:r>
          </w:p>
          <w:p w14:paraId="32CD98BC">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cs="Times New Roman"/>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14:paraId="64F91243">
            <w:pPr>
              <w:widowControl/>
              <w:spacing w:line="400" w:lineRule="exact"/>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4.价格评分：</w:t>
            </w:r>
          </w:p>
          <w:p w14:paraId="5BBC47CA">
            <w:pPr>
              <w:widowControl/>
              <w:spacing w:line="400" w:lineRule="exact"/>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以通过本项目资格及符合性检查且若位于[项目限价*80%，项目限价]区间的竞投报价（不含税，下同）计算。竞投报价中</w:t>
            </w:r>
            <w:r>
              <w:rPr>
                <w:rFonts w:hint="eastAsia" w:ascii="仿宋_GB2312" w:hAnsi="宋体" w:eastAsia="仿宋_GB2312" w:cs="宋体"/>
                <w:kern w:val="0"/>
                <w:szCs w:val="21"/>
                <w:highlight w:val="none"/>
                <w:lang w:val="en-US" w:eastAsia="zh-CN"/>
              </w:rPr>
              <w:t>报价最低的</w:t>
            </w:r>
            <w:r>
              <w:rPr>
                <w:rFonts w:hint="eastAsia" w:ascii="仿宋_GB2312" w:hAnsi="宋体" w:eastAsia="仿宋_GB2312" w:cs="宋体"/>
                <w:kern w:val="0"/>
                <w:szCs w:val="21"/>
                <w:highlight w:val="none"/>
              </w:rPr>
              <w:t>单位得50分，其余报价单位的报价</w:t>
            </w:r>
            <w:r>
              <w:rPr>
                <w:rFonts w:hint="eastAsia" w:ascii="仿宋_GB2312" w:hAnsi="宋体" w:eastAsia="仿宋_GB2312" w:cs="宋体"/>
                <w:kern w:val="0"/>
                <w:szCs w:val="21"/>
                <w:highlight w:val="none"/>
                <w:lang w:val="en-US" w:eastAsia="zh-CN"/>
              </w:rPr>
              <w:t>按报价从低到高排序，第二名的单位得48分</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第三名的报价单位得46分，依次类推，</w:t>
            </w:r>
            <w:r>
              <w:rPr>
                <w:rFonts w:hint="eastAsia" w:ascii="仿宋_GB2312" w:hAnsi="宋体" w:eastAsia="仿宋_GB2312" w:cs="宋体"/>
                <w:kern w:val="0"/>
                <w:szCs w:val="21"/>
                <w:highlight w:val="none"/>
              </w:rPr>
              <w:t>得出经济分。凡不在本项目设置的</w:t>
            </w:r>
            <w:r>
              <w:rPr>
                <w:rFonts w:hint="eastAsia" w:ascii="仿宋_GB2312" w:hAnsi="宋体" w:eastAsia="仿宋_GB2312" w:cs="宋体"/>
                <w:kern w:val="0"/>
                <w:szCs w:val="21"/>
                <w:highlight w:val="none"/>
                <w:lang w:val="en-US" w:eastAsia="zh-CN"/>
              </w:rPr>
              <w:t>合理</w:t>
            </w:r>
            <w:r>
              <w:rPr>
                <w:rFonts w:hint="eastAsia" w:ascii="仿宋_GB2312" w:hAnsi="宋体" w:eastAsia="仿宋_GB2312" w:cs="宋体"/>
                <w:kern w:val="0"/>
                <w:szCs w:val="21"/>
                <w:highlight w:val="none"/>
              </w:rPr>
              <w:t>报价区间范围内的报价单位得0分</w:t>
            </w:r>
            <w:r>
              <w:rPr>
                <w:rFonts w:hint="eastAsia" w:ascii="仿宋_GB2312" w:hAnsi="宋体" w:eastAsia="仿宋_GB2312" w:cs="宋体"/>
                <w:kern w:val="0"/>
                <w:szCs w:val="21"/>
                <w:highlight w:val="none"/>
                <w:lang w:eastAsia="zh-CN"/>
              </w:rPr>
              <w:t>。</w:t>
            </w:r>
          </w:p>
          <w:p w14:paraId="49045D7F">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5.综合得分：</w:t>
            </w:r>
          </w:p>
          <w:p w14:paraId="105150D3">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商务评分+项目方案评分+价格评分=综合得分。评委根据竞投人综合得分高低排定名次。</w:t>
            </w:r>
          </w:p>
          <w:p w14:paraId="7AB91836">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6.评分按四舍五入原则精确到小数点后两位。</w:t>
            </w:r>
            <w:r>
              <w:rPr>
                <w:rFonts w:hint="eastAsia" w:ascii="仿宋_GB2312" w:hAnsi="宋体" w:eastAsia="仿宋_GB2312" w:cs="宋体"/>
                <w:kern w:val="0"/>
                <w:szCs w:val="21"/>
              </w:rPr>
              <w:t>综合得分排名第一的竞投人推荐为第一中标候选人。第一中标候选人放弃中标、或因不可抗力提出不能履行合同的，采购方可以确定排名次高的第二中标候选人为中标承判商。</w:t>
            </w:r>
          </w:p>
          <w:p w14:paraId="44259597">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7.综合评分相同的，按不含税报价由低到高顺序排列；综合评分相同，且不含税报价相同的，按竞投报价由低到高顺序排列；综合评分相同，且不含税报价及按竞投报价均相同的，按</w:t>
            </w:r>
            <w:r>
              <w:rPr>
                <w:rFonts w:hint="eastAsia" w:ascii="仿宋_GB2312" w:hAnsi="宋体" w:eastAsia="仿宋_GB2312" w:cs="宋体"/>
                <w:kern w:val="0"/>
                <w:szCs w:val="21"/>
              </w:rPr>
              <w:t>商务评分</w:t>
            </w:r>
            <w:r>
              <w:rPr>
                <w:rFonts w:hint="eastAsia" w:ascii="仿宋_GB2312" w:hAnsi="宋体" w:eastAsia="仿宋_GB2312" w:cs="宋体"/>
                <w:kern w:val="0"/>
                <w:szCs w:val="21"/>
                <w:lang w:val="en-US" w:eastAsia="zh-CN"/>
              </w:rPr>
              <w:t>情况</w:t>
            </w:r>
            <w:r>
              <w:rPr>
                <w:rFonts w:hint="eastAsia" w:ascii="仿宋_GB2312" w:hAnsi="宋体" w:eastAsia="仿宋_GB2312" w:cs="Times New Roman"/>
                <w:szCs w:val="21"/>
              </w:rPr>
              <w:t>评分由高到低顺序排列。综合评分相同，且不含税报价、竞投报价和</w:t>
            </w:r>
            <w:r>
              <w:rPr>
                <w:rFonts w:hint="eastAsia" w:ascii="仿宋_GB2312" w:hAnsi="宋体" w:eastAsia="仿宋_GB2312" w:cs="Times New Roman"/>
                <w:szCs w:val="21"/>
                <w:lang w:val="en-US" w:eastAsia="zh-CN"/>
              </w:rPr>
              <w:t>商务</w:t>
            </w:r>
            <w:r>
              <w:rPr>
                <w:rFonts w:hint="eastAsia" w:ascii="仿宋_GB2312" w:hAnsi="宋体" w:eastAsia="仿宋_GB2312" w:cs="Times New Roman"/>
                <w:szCs w:val="21"/>
              </w:rPr>
              <w:t>评分均相同的，名次由评审人员会抽签决定。</w:t>
            </w:r>
          </w:p>
          <w:p w14:paraId="73BCBB7D">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8.</w:t>
            </w:r>
            <w:r>
              <w:rPr>
                <w:rFonts w:hint="eastAsia" w:ascii="Calibri" w:hAnsi="Calibri" w:eastAsia="宋体" w:cs="Times New Roman"/>
                <w:szCs w:val="24"/>
              </w:rPr>
              <w:t xml:space="preserve"> </w:t>
            </w:r>
            <w:r>
              <w:rPr>
                <w:rFonts w:hint="eastAsia" w:ascii="仿宋_GB2312" w:hAnsi="宋体" w:eastAsia="仿宋_GB2312" w:cs="宋体"/>
                <w:kern w:val="0"/>
                <w:szCs w:val="21"/>
              </w:rPr>
              <w:t>评标委员会提出评标书面报告和推荐候选中标意见报采购方确认，确认后由采购方与预中标承判商进行最终澄清及对竞投人的资格和履约能力进行再次审查，形成最终合同的基础文件。如在最终澄清过程中，发现预中标承判商存在重大问题造成其履约能力不能满足要求的，可以取消其中标资格。最终澄清完成后，由竞投公司根据采购方确认的结果发出中标通知书。中标承判商应按竞投文件规定向采购方提交相应文件，并在规定时间内与采购方签订合同。</w:t>
            </w:r>
          </w:p>
        </w:tc>
      </w:tr>
      <w:bookmarkEnd w:id="1"/>
      <w:bookmarkEnd w:id="2"/>
      <w:bookmarkEnd w:id="3"/>
      <w:bookmarkEnd w:id="4"/>
      <w:bookmarkEnd w:id="5"/>
    </w:tbl>
    <w:p w14:paraId="1C4E95B6">
      <w:pPr>
        <w:keepNext/>
        <w:keepLines/>
        <w:spacing w:before="260" w:after="260" w:line="400" w:lineRule="exact"/>
        <w:outlineLvl w:val="1"/>
        <w:rPr>
          <w:rFonts w:ascii="宋体" w:hAnsi="宋体" w:eastAsia="黑体" w:cs="宋体"/>
          <w:sz w:val="24"/>
          <w:szCs w:val="24"/>
        </w:rPr>
      </w:pPr>
      <w:r>
        <w:rPr>
          <w:rFonts w:ascii="宋体" w:hAnsi="宋体" w:eastAsia="黑体" w:cs="宋体"/>
          <w:sz w:val="24"/>
          <w:szCs w:val="24"/>
        </w:rPr>
        <w:br w:type="page"/>
      </w:r>
      <w:bookmarkStart w:id="6" w:name="_Toc334797765"/>
      <w:r>
        <w:rPr>
          <w:rFonts w:hint="eastAsia" w:ascii="宋体" w:hAnsi="宋体" w:eastAsia="黑体" w:cs="宋体"/>
          <w:sz w:val="24"/>
          <w:szCs w:val="24"/>
        </w:rPr>
        <w:t>本评标文件包括以下评标过程中所需文件附表：</w:t>
      </w:r>
    </w:p>
    <w:p w14:paraId="202D871E">
      <w:pPr>
        <w:keepNext/>
        <w:keepLines/>
        <w:spacing w:before="260" w:after="260" w:line="400" w:lineRule="exact"/>
        <w:jc w:val="center"/>
        <w:outlineLvl w:val="1"/>
        <w:rPr>
          <w:rFonts w:ascii="仿宋_GB2312" w:hAnsi="宋体" w:eastAsia="仿宋_GB2312" w:cs="宋体"/>
          <w:b/>
          <w:bCs/>
          <w:sz w:val="30"/>
          <w:szCs w:val="30"/>
        </w:rPr>
      </w:pPr>
      <w:bookmarkStart w:id="7" w:name="OLE_LINK2"/>
      <w:bookmarkStart w:id="8" w:name="OLE_LINK3"/>
      <w:r>
        <w:rPr>
          <w:rFonts w:hint="eastAsia" w:ascii="仿宋_GB2312" w:hAnsi="宋体" w:eastAsia="仿宋_GB2312" w:cs="宋体"/>
          <w:b/>
          <w:bCs/>
          <w:sz w:val="30"/>
          <w:szCs w:val="30"/>
        </w:rPr>
        <w:t>符合性检查表</w:t>
      </w:r>
      <w:bookmarkEnd w:id="6"/>
    </w:p>
    <w:p w14:paraId="2C932614">
      <w:pPr>
        <w:wordWrap w:val="0"/>
        <w:jc w:val="right"/>
        <w:rPr>
          <w:rFonts w:ascii="Calibri" w:hAnsi="Calibri" w:eastAsia="宋体" w:cs="Times New Roman"/>
          <w:szCs w:val="24"/>
        </w:rPr>
      </w:pPr>
      <w:r>
        <w:rPr>
          <w:rFonts w:hint="eastAsia" w:ascii="Calibri" w:hAnsi="Calibri" w:eastAsia="宋体" w:cs="Times New Roman"/>
          <w:szCs w:val="24"/>
        </w:rPr>
        <w:t xml:space="preserve">项目名称：              </w:t>
      </w:r>
    </w:p>
    <w:p w14:paraId="527AC83C">
      <w:pPr>
        <w:jc w:val="right"/>
        <w:rPr>
          <w:rFonts w:ascii="Calibri" w:hAnsi="Calibri" w:eastAsia="宋体" w:cs="Times New Roman"/>
          <w:szCs w:val="24"/>
        </w:rPr>
      </w:pPr>
      <w:r>
        <w:rPr>
          <w:rFonts w:hint="eastAsia" w:ascii="Calibri" w:hAnsi="Calibri" w:eastAsia="宋体" w:cs="Times New Roman"/>
          <w:szCs w:val="24"/>
        </w:rPr>
        <w:t>日期：    年  月</w:t>
      </w:r>
      <w:r>
        <w:rPr>
          <w:rFonts w:hint="eastAsia" w:ascii="Calibri" w:hAnsi="Calibri" w:eastAsia="宋体" w:cs="Times New Roman"/>
          <w:szCs w:val="24"/>
          <w:lang w:val="en-US" w:eastAsia="zh-CN"/>
        </w:rPr>
        <w:t xml:space="preserve"> </w:t>
      </w:r>
      <w:r>
        <w:rPr>
          <w:rFonts w:hint="eastAsia" w:ascii="Calibri" w:hAnsi="Calibri" w:eastAsia="宋体" w:cs="Times New Roman"/>
          <w:szCs w:val="24"/>
        </w:rPr>
        <w:t xml:space="preserve">  日</w:t>
      </w:r>
    </w:p>
    <w:tbl>
      <w:tblPr>
        <w:tblStyle w:val="6"/>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14:paraId="69EF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5" w:type="dxa"/>
            <w:vAlign w:val="center"/>
          </w:tcPr>
          <w:p w14:paraId="2B9C3C99">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序号</w:t>
            </w:r>
          </w:p>
        </w:tc>
        <w:tc>
          <w:tcPr>
            <w:tcW w:w="4820" w:type="dxa"/>
            <w:vAlign w:val="center"/>
          </w:tcPr>
          <w:p w14:paraId="63C5A649">
            <w:pPr>
              <w:spacing w:line="400" w:lineRule="exact"/>
              <w:jc w:val="center"/>
              <w:rPr>
                <w:rFonts w:ascii="仿宋_GB2312" w:hAnsi="宋体" w:eastAsia="仿宋_GB2312" w:cs="Times New Roman"/>
                <w:szCs w:val="21"/>
              </w:rPr>
            </w:pPr>
            <w:r>
              <w:rPr>
                <w:rFonts w:hint="eastAsia" w:ascii="仿宋_GB2312" w:hAnsi="宋体" w:eastAsia="仿宋_GB2312" w:cs="Times New Roman"/>
                <w:bCs/>
                <w:szCs w:val="21"/>
              </w:rPr>
              <w:t>检查内容</w:t>
            </w:r>
          </w:p>
        </w:tc>
        <w:tc>
          <w:tcPr>
            <w:tcW w:w="1346" w:type="dxa"/>
            <w:vAlign w:val="center"/>
          </w:tcPr>
          <w:p w14:paraId="176D6FE7">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竞投人A</w:t>
            </w:r>
          </w:p>
        </w:tc>
        <w:tc>
          <w:tcPr>
            <w:tcW w:w="1417" w:type="dxa"/>
            <w:vAlign w:val="center"/>
          </w:tcPr>
          <w:p w14:paraId="0ACC8EB7">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竞投人B</w:t>
            </w:r>
          </w:p>
        </w:tc>
        <w:tc>
          <w:tcPr>
            <w:tcW w:w="1276" w:type="dxa"/>
            <w:vAlign w:val="center"/>
          </w:tcPr>
          <w:p w14:paraId="1E00765A">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竞投人C</w:t>
            </w:r>
          </w:p>
        </w:tc>
      </w:tr>
      <w:tr w14:paraId="4AB7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5" w:type="dxa"/>
            <w:vAlign w:val="center"/>
          </w:tcPr>
          <w:p w14:paraId="205EB7D9">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1</w:t>
            </w:r>
          </w:p>
        </w:tc>
        <w:tc>
          <w:tcPr>
            <w:tcW w:w="4820" w:type="dxa"/>
            <w:vAlign w:val="center"/>
          </w:tcPr>
          <w:p w14:paraId="56D17F6B">
            <w:p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竞投人必须是国内合法注册的法人或其他组织, 并已办理合法税务登记，具有开具相应发票能力。</w:t>
            </w:r>
          </w:p>
        </w:tc>
        <w:tc>
          <w:tcPr>
            <w:tcW w:w="1346" w:type="dxa"/>
            <w:vAlign w:val="center"/>
          </w:tcPr>
          <w:p w14:paraId="1D6B49C3">
            <w:pPr>
              <w:spacing w:line="400" w:lineRule="exact"/>
              <w:rPr>
                <w:rFonts w:ascii="仿宋_GB2312" w:hAnsi="宋体" w:eastAsia="仿宋_GB2312" w:cs="Times New Roman"/>
                <w:szCs w:val="21"/>
              </w:rPr>
            </w:pPr>
          </w:p>
        </w:tc>
        <w:tc>
          <w:tcPr>
            <w:tcW w:w="1417" w:type="dxa"/>
            <w:vAlign w:val="center"/>
          </w:tcPr>
          <w:p w14:paraId="2AF0B465">
            <w:pPr>
              <w:spacing w:line="400" w:lineRule="exact"/>
              <w:rPr>
                <w:rFonts w:ascii="仿宋_GB2312" w:hAnsi="宋体" w:eastAsia="仿宋_GB2312" w:cs="Times New Roman"/>
                <w:szCs w:val="21"/>
              </w:rPr>
            </w:pPr>
          </w:p>
        </w:tc>
        <w:tc>
          <w:tcPr>
            <w:tcW w:w="1276" w:type="dxa"/>
            <w:vAlign w:val="center"/>
          </w:tcPr>
          <w:p w14:paraId="40D41C16">
            <w:pPr>
              <w:spacing w:line="400" w:lineRule="exact"/>
              <w:rPr>
                <w:rFonts w:ascii="仿宋_GB2312" w:hAnsi="宋体" w:eastAsia="仿宋_GB2312" w:cs="Times New Roman"/>
                <w:szCs w:val="21"/>
              </w:rPr>
            </w:pPr>
          </w:p>
        </w:tc>
      </w:tr>
      <w:tr w14:paraId="0D83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5" w:type="dxa"/>
            <w:vAlign w:val="center"/>
          </w:tcPr>
          <w:p w14:paraId="69404E16">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2</w:t>
            </w:r>
          </w:p>
        </w:tc>
        <w:tc>
          <w:tcPr>
            <w:tcW w:w="4820" w:type="dxa"/>
            <w:vAlign w:val="center"/>
          </w:tcPr>
          <w:p w14:paraId="74CABB06">
            <w:p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竞投人提交资格文件声明的函，声明在过往的经营活动中没有违法或者不良信誉记录。</w:t>
            </w:r>
          </w:p>
        </w:tc>
        <w:tc>
          <w:tcPr>
            <w:tcW w:w="1346" w:type="dxa"/>
            <w:vAlign w:val="center"/>
          </w:tcPr>
          <w:p w14:paraId="62004977">
            <w:pPr>
              <w:spacing w:line="400" w:lineRule="exact"/>
              <w:rPr>
                <w:rFonts w:ascii="仿宋_GB2312" w:hAnsi="宋体" w:eastAsia="仿宋_GB2312" w:cs="Times New Roman"/>
                <w:szCs w:val="21"/>
              </w:rPr>
            </w:pPr>
          </w:p>
        </w:tc>
        <w:tc>
          <w:tcPr>
            <w:tcW w:w="1417" w:type="dxa"/>
            <w:vAlign w:val="center"/>
          </w:tcPr>
          <w:p w14:paraId="24D579A9">
            <w:pPr>
              <w:spacing w:line="400" w:lineRule="exact"/>
              <w:rPr>
                <w:rFonts w:ascii="仿宋_GB2312" w:hAnsi="宋体" w:eastAsia="仿宋_GB2312" w:cs="Times New Roman"/>
                <w:szCs w:val="21"/>
              </w:rPr>
            </w:pPr>
          </w:p>
        </w:tc>
        <w:tc>
          <w:tcPr>
            <w:tcW w:w="1276" w:type="dxa"/>
            <w:vAlign w:val="center"/>
          </w:tcPr>
          <w:p w14:paraId="29C1979F">
            <w:pPr>
              <w:spacing w:line="400" w:lineRule="exact"/>
              <w:rPr>
                <w:rFonts w:ascii="仿宋_GB2312" w:hAnsi="宋体" w:eastAsia="仿宋_GB2312" w:cs="Times New Roman"/>
                <w:szCs w:val="21"/>
              </w:rPr>
            </w:pPr>
          </w:p>
        </w:tc>
      </w:tr>
      <w:tr w14:paraId="41B2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5" w:type="dxa"/>
            <w:vAlign w:val="center"/>
          </w:tcPr>
          <w:p w14:paraId="60A37B44">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3</w:t>
            </w:r>
          </w:p>
        </w:tc>
        <w:tc>
          <w:tcPr>
            <w:tcW w:w="4820" w:type="dxa"/>
            <w:vAlign w:val="center"/>
          </w:tcPr>
          <w:p w14:paraId="740D5033">
            <w:pPr>
              <w:spacing w:line="400" w:lineRule="exact"/>
              <w:rPr>
                <w:rFonts w:ascii="仿宋_GB2312" w:hAnsi="宋体" w:eastAsia="宋体" w:cs="Times New Roman"/>
                <w:szCs w:val="21"/>
              </w:rPr>
            </w:pPr>
            <w:r>
              <w:rPr>
                <w:rFonts w:hint="eastAsia" w:ascii="仿宋_GB2312" w:hAnsi="宋体" w:eastAsia="仿宋_GB2312" w:cs="Times New Roman"/>
                <w:szCs w:val="21"/>
              </w:rPr>
              <w:t>有效法人证明书及授权委托书。</w:t>
            </w:r>
          </w:p>
        </w:tc>
        <w:tc>
          <w:tcPr>
            <w:tcW w:w="1346" w:type="dxa"/>
            <w:vAlign w:val="center"/>
          </w:tcPr>
          <w:p w14:paraId="00E7A4F9">
            <w:pPr>
              <w:spacing w:line="400" w:lineRule="exact"/>
              <w:rPr>
                <w:rFonts w:ascii="仿宋_GB2312" w:hAnsi="宋体" w:eastAsia="仿宋_GB2312" w:cs="Times New Roman"/>
                <w:szCs w:val="21"/>
              </w:rPr>
            </w:pPr>
          </w:p>
        </w:tc>
        <w:tc>
          <w:tcPr>
            <w:tcW w:w="1417" w:type="dxa"/>
            <w:vAlign w:val="center"/>
          </w:tcPr>
          <w:p w14:paraId="1B8DC20B">
            <w:pPr>
              <w:spacing w:line="400" w:lineRule="exact"/>
              <w:rPr>
                <w:rFonts w:ascii="仿宋_GB2312" w:hAnsi="宋体" w:eastAsia="仿宋_GB2312" w:cs="Times New Roman"/>
                <w:szCs w:val="21"/>
              </w:rPr>
            </w:pPr>
          </w:p>
        </w:tc>
        <w:tc>
          <w:tcPr>
            <w:tcW w:w="1276" w:type="dxa"/>
            <w:vAlign w:val="center"/>
          </w:tcPr>
          <w:p w14:paraId="249349EA">
            <w:pPr>
              <w:spacing w:line="400" w:lineRule="exact"/>
              <w:rPr>
                <w:rFonts w:ascii="仿宋_GB2312" w:hAnsi="宋体" w:eastAsia="仿宋_GB2312" w:cs="Times New Roman"/>
                <w:szCs w:val="21"/>
              </w:rPr>
            </w:pPr>
          </w:p>
        </w:tc>
      </w:tr>
      <w:tr w14:paraId="61A7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75" w:type="dxa"/>
            <w:vAlign w:val="center"/>
          </w:tcPr>
          <w:p w14:paraId="20361A33">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4</w:t>
            </w:r>
          </w:p>
        </w:tc>
        <w:tc>
          <w:tcPr>
            <w:tcW w:w="4820" w:type="dxa"/>
            <w:vAlign w:val="center"/>
          </w:tcPr>
          <w:p w14:paraId="697E2058">
            <w:p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竞投人需在提交竞投文件时提供项目服务建议书。</w:t>
            </w:r>
          </w:p>
        </w:tc>
        <w:tc>
          <w:tcPr>
            <w:tcW w:w="1346" w:type="dxa"/>
            <w:vAlign w:val="center"/>
          </w:tcPr>
          <w:p w14:paraId="6B958044">
            <w:pPr>
              <w:spacing w:line="400" w:lineRule="exact"/>
              <w:rPr>
                <w:rFonts w:ascii="仿宋_GB2312" w:hAnsi="宋体" w:eastAsia="仿宋_GB2312" w:cs="Times New Roman"/>
                <w:szCs w:val="21"/>
              </w:rPr>
            </w:pPr>
          </w:p>
        </w:tc>
        <w:tc>
          <w:tcPr>
            <w:tcW w:w="1417" w:type="dxa"/>
            <w:vAlign w:val="center"/>
          </w:tcPr>
          <w:p w14:paraId="4DFC82E6">
            <w:pPr>
              <w:spacing w:line="400" w:lineRule="exact"/>
              <w:rPr>
                <w:rFonts w:ascii="仿宋_GB2312" w:hAnsi="宋体" w:eastAsia="仿宋_GB2312" w:cs="Times New Roman"/>
                <w:szCs w:val="21"/>
              </w:rPr>
            </w:pPr>
          </w:p>
        </w:tc>
        <w:tc>
          <w:tcPr>
            <w:tcW w:w="1276" w:type="dxa"/>
            <w:vAlign w:val="center"/>
          </w:tcPr>
          <w:p w14:paraId="28A67B29">
            <w:pPr>
              <w:spacing w:line="400" w:lineRule="exact"/>
              <w:rPr>
                <w:rFonts w:ascii="仿宋_GB2312" w:hAnsi="宋体" w:eastAsia="仿宋_GB2312" w:cs="Times New Roman"/>
                <w:szCs w:val="21"/>
              </w:rPr>
            </w:pPr>
          </w:p>
        </w:tc>
      </w:tr>
      <w:tr w14:paraId="27AA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495" w:type="dxa"/>
            <w:gridSpan w:val="2"/>
            <w:vAlign w:val="center"/>
          </w:tcPr>
          <w:p w14:paraId="75624E43">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结论（通过/不通过）</w:t>
            </w:r>
          </w:p>
        </w:tc>
        <w:tc>
          <w:tcPr>
            <w:tcW w:w="1346" w:type="dxa"/>
            <w:vAlign w:val="center"/>
          </w:tcPr>
          <w:p w14:paraId="714949C7">
            <w:pPr>
              <w:spacing w:line="400" w:lineRule="exact"/>
              <w:rPr>
                <w:rFonts w:ascii="仿宋_GB2312" w:hAnsi="宋体" w:eastAsia="仿宋_GB2312" w:cs="Times New Roman"/>
                <w:szCs w:val="21"/>
              </w:rPr>
            </w:pPr>
          </w:p>
        </w:tc>
        <w:tc>
          <w:tcPr>
            <w:tcW w:w="1417" w:type="dxa"/>
            <w:vAlign w:val="center"/>
          </w:tcPr>
          <w:p w14:paraId="00AEB446">
            <w:pPr>
              <w:spacing w:line="400" w:lineRule="exact"/>
              <w:rPr>
                <w:rFonts w:ascii="仿宋_GB2312" w:hAnsi="宋体" w:eastAsia="仿宋_GB2312" w:cs="Times New Roman"/>
                <w:szCs w:val="21"/>
              </w:rPr>
            </w:pPr>
          </w:p>
        </w:tc>
        <w:tc>
          <w:tcPr>
            <w:tcW w:w="1276" w:type="dxa"/>
            <w:vAlign w:val="center"/>
          </w:tcPr>
          <w:p w14:paraId="2535F363">
            <w:pPr>
              <w:spacing w:line="400" w:lineRule="exact"/>
              <w:rPr>
                <w:rFonts w:ascii="仿宋_GB2312" w:hAnsi="宋体" w:eastAsia="仿宋_GB2312" w:cs="Times New Roman"/>
                <w:szCs w:val="21"/>
              </w:rPr>
            </w:pPr>
          </w:p>
        </w:tc>
      </w:tr>
    </w:tbl>
    <w:p w14:paraId="4DD1C57E">
      <w:pPr>
        <w:numPr>
          <w:ilvl w:val="0"/>
          <w:numId w:val="4"/>
        </w:num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竞投人分栏中填写“√”表示该项符合竞投文件要求，“×”表示该项目不符合竞投文件要求。</w:t>
      </w:r>
    </w:p>
    <w:p w14:paraId="513C2C72">
      <w:pPr>
        <w:numPr>
          <w:ilvl w:val="0"/>
          <w:numId w:val="4"/>
        </w:numPr>
        <w:spacing w:line="400" w:lineRule="exact"/>
        <w:rPr>
          <w:rFonts w:ascii="仿宋_GB2312" w:hAnsi="宋体" w:eastAsia="仿宋_GB2312" w:cs="Times New Roman"/>
          <w:szCs w:val="21"/>
        </w:rPr>
      </w:pPr>
      <w:r>
        <w:rPr>
          <w:rFonts w:hint="eastAsia" w:ascii="仿宋_GB2312" w:hAnsi="宋体" w:eastAsia="仿宋_GB2312" w:cs="Times New Roman"/>
          <w:szCs w:val="21"/>
        </w:rPr>
        <w:t>结论栏中填写“通过”表示该竞投人竞投文件符合要求，“×”表示该竞投人竞投文件不符合要求。</w:t>
      </w:r>
    </w:p>
    <w:p w14:paraId="4FEA3EE9">
      <w:pPr>
        <w:numPr>
          <w:ilvl w:val="0"/>
          <w:numId w:val="4"/>
        </w:numPr>
        <w:spacing w:line="400" w:lineRule="exact"/>
        <w:rPr>
          <w:rFonts w:ascii="仿宋_GB2312" w:hAnsi="宋体" w:eastAsia="仿宋_GB2312" w:cs="Times New Roman"/>
          <w:szCs w:val="21"/>
        </w:rPr>
      </w:pPr>
      <w:r>
        <w:rPr>
          <w:rFonts w:hint="eastAsia" w:ascii="仿宋_GB2312" w:hAnsi="宋体" w:eastAsia="仿宋_GB2312" w:cs="Times New Roman"/>
          <w:szCs w:val="21"/>
        </w:rPr>
        <w:t>结论栏总意见采取少数服从多数原则确定，即超过半数评委的结论为“通过”则该竞投人通过资格审查，否则不能通过。</w:t>
      </w:r>
    </w:p>
    <w:p w14:paraId="14181A99">
      <w:pPr>
        <w:spacing w:line="400" w:lineRule="exact"/>
        <w:rPr>
          <w:rFonts w:ascii="仿宋_GB2312" w:hAnsi="宋体" w:eastAsia="仿宋_GB2312" w:cs="Times New Roman"/>
          <w:szCs w:val="21"/>
        </w:rPr>
      </w:pPr>
    </w:p>
    <w:p w14:paraId="095914B3">
      <w:pPr>
        <w:spacing w:line="400" w:lineRule="exact"/>
        <w:rPr>
          <w:rFonts w:ascii="仿宋_GB2312" w:hAnsi="宋体" w:eastAsia="仿宋_GB2312" w:cs="Times New Roman"/>
          <w:szCs w:val="21"/>
        </w:rPr>
      </w:pPr>
      <w:r>
        <w:rPr>
          <w:rFonts w:hint="eastAsia" w:ascii="仿宋_GB2312" w:hAnsi="宋体" w:eastAsia="仿宋_GB2312" w:cs="Times New Roman"/>
          <w:szCs w:val="21"/>
        </w:rPr>
        <w:t>评委签名：</w:t>
      </w:r>
    </w:p>
    <w:p w14:paraId="46A9893E">
      <w:pPr>
        <w:spacing w:line="400" w:lineRule="exact"/>
        <w:rPr>
          <w:rFonts w:ascii="仿宋_GB2312" w:hAnsi="宋体" w:eastAsia="仿宋_GB2312" w:cs="Times New Roman"/>
          <w:szCs w:val="21"/>
        </w:rPr>
      </w:pPr>
    </w:p>
    <w:p w14:paraId="17772584">
      <w:pPr>
        <w:spacing w:line="400" w:lineRule="exact"/>
        <w:rPr>
          <w:rFonts w:ascii="仿宋_GB2312" w:hAnsi="宋体" w:eastAsia="仿宋_GB2312" w:cs="Times New Roman"/>
          <w:szCs w:val="21"/>
        </w:rPr>
      </w:pPr>
    </w:p>
    <w:p w14:paraId="154CD81E">
      <w:pPr>
        <w:spacing w:line="400" w:lineRule="exact"/>
        <w:rPr>
          <w:rFonts w:ascii="仿宋_GB2312" w:hAnsi="宋体" w:eastAsia="仿宋_GB2312" w:cs="Times New Roman"/>
          <w:szCs w:val="21"/>
        </w:rPr>
      </w:pPr>
    </w:p>
    <w:p w14:paraId="5819992F">
      <w:pPr>
        <w:spacing w:line="400" w:lineRule="exact"/>
        <w:rPr>
          <w:rFonts w:ascii="仿宋_GB2312" w:hAnsi="宋体" w:eastAsia="仿宋_GB2312" w:cs="Times New Roman"/>
          <w:szCs w:val="21"/>
        </w:rPr>
      </w:pPr>
    </w:p>
    <w:p w14:paraId="1A66EE48">
      <w:pPr>
        <w:spacing w:line="400" w:lineRule="exact"/>
        <w:rPr>
          <w:rFonts w:ascii="仿宋_GB2312" w:hAnsi="宋体" w:eastAsia="仿宋_GB2312" w:cs="Times New Roman"/>
          <w:szCs w:val="21"/>
        </w:rPr>
      </w:pPr>
    </w:p>
    <w:p w14:paraId="2A47F49E">
      <w:pPr>
        <w:spacing w:line="400" w:lineRule="exact"/>
        <w:rPr>
          <w:rFonts w:ascii="仿宋_GB2312" w:hAnsi="宋体" w:eastAsia="仿宋_GB2312" w:cs="Times New Roman"/>
          <w:szCs w:val="21"/>
        </w:rPr>
      </w:pPr>
    </w:p>
    <w:p w14:paraId="2AF84102">
      <w:pPr>
        <w:spacing w:line="400" w:lineRule="exact"/>
        <w:rPr>
          <w:rFonts w:ascii="仿宋_GB2312" w:hAnsi="宋体" w:eastAsia="仿宋_GB2312" w:cs="Times New Roman"/>
          <w:szCs w:val="21"/>
        </w:rPr>
      </w:pPr>
    </w:p>
    <w:p w14:paraId="39D228B6">
      <w:pPr>
        <w:spacing w:line="400" w:lineRule="exact"/>
        <w:rPr>
          <w:rFonts w:ascii="仿宋_GB2312" w:hAnsi="宋体" w:eastAsia="仿宋_GB2312" w:cs="Times New Roman"/>
          <w:szCs w:val="21"/>
        </w:rPr>
      </w:pPr>
    </w:p>
    <w:p w14:paraId="50CD3C7B">
      <w:pPr>
        <w:spacing w:line="400" w:lineRule="exact"/>
        <w:rPr>
          <w:rFonts w:ascii="仿宋_GB2312" w:hAnsi="宋体" w:eastAsia="仿宋_GB2312" w:cs="Times New Roman"/>
          <w:szCs w:val="21"/>
        </w:rPr>
      </w:pPr>
    </w:p>
    <w:p w14:paraId="16942971">
      <w:pPr>
        <w:keepNext/>
        <w:keepLines/>
        <w:spacing w:before="260" w:after="260" w:line="400" w:lineRule="exact"/>
        <w:jc w:val="center"/>
        <w:outlineLvl w:val="1"/>
        <w:rPr>
          <w:rFonts w:ascii="仿宋_GB2312" w:hAnsi="宋体" w:eastAsia="仿宋_GB2312" w:cs="宋体"/>
          <w:b/>
          <w:bCs/>
          <w:sz w:val="30"/>
          <w:szCs w:val="30"/>
        </w:rPr>
      </w:pPr>
      <w:r>
        <w:rPr>
          <w:rFonts w:hint="eastAsia" w:ascii="仿宋_GB2312" w:hAnsi="宋体" w:eastAsia="仿宋_GB2312" w:cs="宋体"/>
          <w:b/>
          <w:bCs/>
          <w:sz w:val="30"/>
          <w:szCs w:val="30"/>
        </w:rPr>
        <w:t>价格及业绩评分评审表</w:t>
      </w:r>
    </w:p>
    <w:p w14:paraId="66FD2134">
      <w:pPr>
        <w:wordWrap w:val="0"/>
        <w:jc w:val="right"/>
        <w:rPr>
          <w:rFonts w:ascii="Calibri" w:hAnsi="Calibri" w:eastAsia="宋体" w:cs="Times New Roman"/>
          <w:szCs w:val="24"/>
        </w:rPr>
      </w:pPr>
      <w:r>
        <w:rPr>
          <w:rFonts w:hint="eastAsia" w:ascii="Calibri" w:hAnsi="Calibri" w:eastAsia="宋体" w:cs="Times New Roman"/>
          <w:szCs w:val="24"/>
        </w:rPr>
        <w:t xml:space="preserve">项目名称：              </w:t>
      </w:r>
    </w:p>
    <w:p w14:paraId="240C18EA">
      <w:pPr>
        <w:jc w:val="right"/>
        <w:rPr>
          <w:rFonts w:ascii="Calibri" w:hAnsi="Calibri" w:eastAsia="宋体" w:cs="Times New Roman"/>
          <w:szCs w:val="24"/>
        </w:rPr>
      </w:pPr>
      <w:r>
        <w:rPr>
          <w:rFonts w:hint="eastAsia" w:ascii="Calibri" w:hAnsi="Calibri" w:eastAsia="宋体" w:cs="Times New Roman"/>
          <w:szCs w:val="24"/>
        </w:rPr>
        <w:t>日期：    年  月</w:t>
      </w:r>
      <w:r>
        <w:rPr>
          <w:rFonts w:hint="eastAsia" w:ascii="Calibri" w:hAnsi="Calibri" w:eastAsia="宋体" w:cs="Times New Roman"/>
          <w:szCs w:val="24"/>
          <w:lang w:val="en-US" w:eastAsia="zh-CN"/>
        </w:rPr>
        <w:t xml:space="preserve"> </w:t>
      </w:r>
      <w:r>
        <w:rPr>
          <w:rFonts w:hint="eastAsia" w:ascii="Calibri" w:hAnsi="Calibri" w:eastAsia="宋体" w:cs="Times New Roman"/>
          <w:szCs w:val="24"/>
        </w:rPr>
        <w:t xml:space="preserve">  日</w:t>
      </w:r>
    </w:p>
    <w:tbl>
      <w:tblPr>
        <w:tblStyle w:val="6"/>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7"/>
        <w:gridCol w:w="913"/>
        <w:gridCol w:w="4866"/>
        <w:gridCol w:w="1726"/>
      </w:tblGrid>
      <w:tr w14:paraId="1356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84" w:type="dxa"/>
            <w:vAlign w:val="center"/>
          </w:tcPr>
          <w:p w14:paraId="41BC87FB">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1437" w:type="dxa"/>
            <w:vAlign w:val="center"/>
          </w:tcPr>
          <w:p w14:paraId="4EC650A8">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评审分项</w:t>
            </w:r>
          </w:p>
        </w:tc>
        <w:tc>
          <w:tcPr>
            <w:tcW w:w="913" w:type="dxa"/>
            <w:vAlign w:val="center"/>
          </w:tcPr>
          <w:p w14:paraId="522241A0">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分值</w:t>
            </w:r>
          </w:p>
        </w:tc>
        <w:tc>
          <w:tcPr>
            <w:tcW w:w="4866" w:type="dxa"/>
            <w:vAlign w:val="center"/>
          </w:tcPr>
          <w:p w14:paraId="618661AD">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评审标准</w:t>
            </w:r>
          </w:p>
        </w:tc>
        <w:tc>
          <w:tcPr>
            <w:tcW w:w="1726" w:type="dxa"/>
            <w:vAlign w:val="center"/>
          </w:tcPr>
          <w:p w14:paraId="51DB7093">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得分</w:t>
            </w:r>
          </w:p>
        </w:tc>
      </w:tr>
      <w:tr w14:paraId="5BA7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784" w:type="dxa"/>
            <w:vAlign w:val="center"/>
          </w:tcPr>
          <w:p w14:paraId="140DCF1E">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437" w:type="dxa"/>
            <w:vAlign w:val="center"/>
          </w:tcPr>
          <w:p w14:paraId="17407DA4">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商务评分</w:t>
            </w:r>
          </w:p>
        </w:tc>
        <w:tc>
          <w:tcPr>
            <w:tcW w:w="913" w:type="dxa"/>
            <w:vAlign w:val="center"/>
          </w:tcPr>
          <w:p w14:paraId="096EF1D6">
            <w:pPr>
              <w:spacing w:line="400" w:lineRule="exact"/>
              <w:rPr>
                <w:rFonts w:ascii="仿宋_GB2312" w:hAnsi="宋体" w:eastAsia="仿宋_GB2312" w:cs="宋体"/>
                <w:kern w:val="0"/>
                <w:szCs w:val="21"/>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0分</w:t>
            </w:r>
          </w:p>
        </w:tc>
        <w:tc>
          <w:tcPr>
            <w:tcW w:w="4866" w:type="dxa"/>
            <w:vAlign w:val="center"/>
          </w:tcPr>
          <w:p w14:paraId="4047A413">
            <w:pPr>
              <w:spacing w:line="400" w:lineRule="exact"/>
              <w:rPr>
                <w:rFonts w:hint="eastAsia" w:ascii="仿宋_GB2312" w:hAnsi="宋体" w:eastAsia="仿宋_GB2312" w:cs="宋体"/>
                <w:kern w:val="0"/>
                <w:szCs w:val="21"/>
                <w:lang w:eastAsia="zh-CN"/>
              </w:rPr>
            </w:pPr>
            <w:r>
              <w:rPr>
                <w:rFonts w:hint="eastAsia" w:ascii="仿宋_GB2312" w:hAnsi="宋体" w:eastAsia="仿宋_GB2312" w:cs="宋体"/>
                <w:kern w:val="0"/>
                <w:szCs w:val="21"/>
              </w:rPr>
              <w:t>公司资信情况良好，服务过同类性质项目次数3次及以上：10分；服务过同类性质项目次数1-2次：5 分；未曾服务过同类性质项目：0分</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lang w:val="en-US" w:eastAsia="zh-CN"/>
              </w:rPr>
              <w:t>提供相应合同或中标通知书等相关证明文件</w:t>
            </w:r>
            <w:r>
              <w:rPr>
                <w:rFonts w:hint="eastAsia" w:ascii="仿宋_GB2312" w:hAnsi="宋体" w:eastAsia="仿宋_GB2312" w:cs="宋体"/>
                <w:kern w:val="0"/>
                <w:szCs w:val="21"/>
                <w:lang w:eastAsia="zh-CN"/>
              </w:rPr>
              <w:t>）</w:t>
            </w:r>
          </w:p>
        </w:tc>
        <w:tc>
          <w:tcPr>
            <w:tcW w:w="1726" w:type="dxa"/>
            <w:vAlign w:val="center"/>
          </w:tcPr>
          <w:p w14:paraId="7D889762">
            <w:pPr>
              <w:spacing w:line="400" w:lineRule="exact"/>
              <w:rPr>
                <w:rFonts w:ascii="仿宋_GB2312" w:hAnsi="宋体" w:eastAsia="仿宋_GB2312" w:cs="宋体"/>
                <w:kern w:val="0"/>
                <w:szCs w:val="21"/>
              </w:rPr>
            </w:pPr>
          </w:p>
        </w:tc>
      </w:tr>
      <w:tr w14:paraId="264E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1" w:hRule="atLeast"/>
          <w:jc w:val="center"/>
        </w:trPr>
        <w:tc>
          <w:tcPr>
            <w:tcW w:w="784" w:type="dxa"/>
            <w:vAlign w:val="center"/>
          </w:tcPr>
          <w:p w14:paraId="0EA7ED0F">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437" w:type="dxa"/>
            <w:vAlign w:val="center"/>
          </w:tcPr>
          <w:p w14:paraId="6C56AA9F">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价格评分</w:t>
            </w:r>
          </w:p>
        </w:tc>
        <w:tc>
          <w:tcPr>
            <w:tcW w:w="913" w:type="dxa"/>
            <w:vAlign w:val="center"/>
          </w:tcPr>
          <w:p w14:paraId="46E8CC89">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50分</w:t>
            </w:r>
          </w:p>
        </w:tc>
        <w:tc>
          <w:tcPr>
            <w:tcW w:w="4866" w:type="dxa"/>
            <w:vAlign w:val="center"/>
          </w:tcPr>
          <w:p w14:paraId="16A742F2">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以通过本项目资格及符合性检查且若位于[项目限价*80%，项目限价]区间的竞投报价（不含税，下同）计算。竞投报价中报价最低的单位得50分，</w:t>
            </w:r>
            <w:r>
              <w:rPr>
                <w:rFonts w:hint="eastAsia" w:ascii="仿宋_GB2312" w:hAnsi="宋体" w:eastAsia="仿宋_GB2312" w:cs="宋体"/>
                <w:kern w:val="0"/>
                <w:szCs w:val="21"/>
                <w:highlight w:val="none"/>
              </w:rPr>
              <w:t>其余报价单位的报价</w:t>
            </w:r>
            <w:r>
              <w:rPr>
                <w:rFonts w:hint="eastAsia" w:ascii="仿宋_GB2312" w:hAnsi="宋体" w:eastAsia="仿宋_GB2312" w:cs="宋体"/>
                <w:kern w:val="0"/>
                <w:szCs w:val="21"/>
                <w:highlight w:val="none"/>
                <w:lang w:val="en-US" w:eastAsia="zh-CN"/>
              </w:rPr>
              <w:t>按报价从低到高排序，第二名的单位得48分</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第三名的报价单位得46分，依次类推，</w:t>
            </w:r>
            <w:r>
              <w:rPr>
                <w:rFonts w:hint="eastAsia" w:ascii="仿宋_GB2312" w:hAnsi="宋体" w:eastAsia="仿宋_GB2312" w:cs="宋体"/>
                <w:kern w:val="0"/>
                <w:szCs w:val="21"/>
                <w:highlight w:val="none"/>
              </w:rPr>
              <w:t>得出经济分。</w:t>
            </w:r>
            <w:r>
              <w:rPr>
                <w:rFonts w:hint="eastAsia" w:ascii="仿宋_GB2312" w:hAnsi="宋体" w:eastAsia="仿宋_GB2312" w:cs="宋体"/>
                <w:kern w:val="0"/>
                <w:szCs w:val="21"/>
              </w:rPr>
              <w:t>凡不在本项目设置的合理报价区间范围内的报价单位得0分。</w:t>
            </w:r>
          </w:p>
        </w:tc>
        <w:tc>
          <w:tcPr>
            <w:tcW w:w="1726" w:type="dxa"/>
            <w:vAlign w:val="center"/>
          </w:tcPr>
          <w:p w14:paraId="5C303CC7">
            <w:pPr>
              <w:spacing w:line="400" w:lineRule="exact"/>
              <w:rPr>
                <w:rFonts w:ascii="仿宋_GB2312" w:hAnsi="宋体" w:eastAsia="仿宋_GB2312" w:cs="宋体"/>
                <w:kern w:val="0"/>
                <w:szCs w:val="21"/>
              </w:rPr>
            </w:pPr>
          </w:p>
        </w:tc>
      </w:tr>
      <w:tr w14:paraId="1704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221" w:type="dxa"/>
            <w:gridSpan w:val="2"/>
            <w:vAlign w:val="center"/>
          </w:tcPr>
          <w:p w14:paraId="400BA50E">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合计</w:t>
            </w:r>
          </w:p>
        </w:tc>
        <w:tc>
          <w:tcPr>
            <w:tcW w:w="913" w:type="dxa"/>
            <w:vAlign w:val="center"/>
          </w:tcPr>
          <w:p w14:paraId="36873EC3">
            <w:pPr>
              <w:spacing w:line="400" w:lineRule="exact"/>
              <w:rPr>
                <w:rFonts w:ascii="仿宋_GB2312" w:hAnsi="宋体" w:eastAsia="仿宋_GB2312" w:cs="宋体"/>
                <w:kern w:val="0"/>
                <w:szCs w:val="21"/>
              </w:rPr>
            </w:pPr>
            <w:r>
              <w:rPr>
                <w:rFonts w:hint="eastAsia" w:ascii="仿宋_GB2312" w:hAnsi="宋体" w:eastAsia="仿宋_GB2312" w:cs="宋体"/>
                <w:kern w:val="0"/>
                <w:szCs w:val="21"/>
                <w:lang w:val="en-US" w:eastAsia="zh-CN"/>
              </w:rPr>
              <w:t>6</w:t>
            </w:r>
            <w:r>
              <w:rPr>
                <w:rFonts w:hint="eastAsia" w:ascii="仿宋_GB2312" w:hAnsi="宋体" w:eastAsia="仿宋_GB2312" w:cs="宋体"/>
                <w:kern w:val="0"/>
                <w:szCs w:val="21"/>
              </w:rPr>
              <w:t>0分</w:t>
            </w:r>
          </w:p>
        </w:tc>
        <w:tc>
          <w:tcPr>
            <w:tcW w:w="4866" w:type="dxa"/>
            <w:vAlign w:val="center"/>
          </w:tcPr>
          <w:p w14:paraId="41228758">
            <w:pPr>
              <w:spacing w:line="400" w:lineRule="exact"/>
              <w:rPr>
                <w:rFonts w:ascii="仿宋_GB2312" w:hAnsi="宋体" w:eastAsia="仿宋_GB2312" w:cs="宋体"/>
                <w:kern w:val="0"/>
                <w:szCs w:val="21"/>
              </w:rPr>
            </w:pPr>
          </w:p>
        </w:tc>
        <w:tc>
          <w:tcPr>
            <w:tcW w:w="1726" w:type="dxa"/>
            <w:vAlign w:val="center"/>
          </w:tcPr>
          <w:p w14:paraId="2B3D3F42">
            <w:pPr>
              <w:spacing w:line="400" w:lineRule="exact"/>
              <w:rPr>
                <w:rFonts w:ascii="仿宋_GB2312" w:hAnsi="宋体" w:eastAsia="仿宋_GB2312" w:cs="宋体"/>
                <w:kern w:val="0"/>
                <w:szCs w:val="21"/>
              </w:rPr>
            </w:pPr>
          </w:p>
        </w:tc>
      </w:tr>
    </w:tbl>
    <w:p w14:paraId="634C584E">
      <w:pPr>
        <w:rPr>
          <w:rFonts w:hint="eastAsia" w:ascii="仿宋_GB2312" w:hAnsi="仿宋_GB2312" w:eastAsia="仿宋_GB2312" w:cs="仿宋_GB2312"/>
          <w:szCs w:val="24"/>
        </w:rPr>
      </w:pPr>
      <w:r>
        <w:rPr>
          <w:rFonts w:hint="eastAsia" w:ascii="仿宋_GB2312" w:hAnsi="仿宋_GB2312" w:eastAsia="仿宋_GB2312" w:cs="仿宋_GB2312"/>
          <w:szCs w:val="24"/>
        </w:rPr>
        <w:t>评委签名：</w:t>
      </w:r>
    </w:p>
    <w:p w14:paraId="7ACA1C79">
      <w:pPr>
        <w:jc w:val="center"/>
        <w:rPr>
          <w:rFonts w:ascii="Calibri" w:hAnsi="Calibri" w:eastAsia="宋体" w:cs="Times New Roman"/>
          <w:szCs w:val="24"/>
        </w:rPr>
      </w:pPr>
      <w:r>
        <w:rPr>
          <w:rFonts w:hint="eastAsia" w:ascii="宋体" w:hAnsi="宋体" w:eastAsia="宋体" w:cs="宋体"/>
          <w:b/>
          <w:sz w:val="32"/>
          <w:szCs w:val="32"/>
        </w:rPr>
        <w:t>项目方案评审表</w:t>
      </w:r>
      <w:r>
        <w:rPr>
          <w:rFonts w:hint="eastAsia" w:ascii="Calibri" w:hAnsi="Calibri" w:eastAsia="宋体" w:cs="Times New Roman"/>
          <w:szCs w:val="24"/>
        </w:rPr>
        <w:t xml:space="preserve">             </w:t>
      </w:r>
    </w:p>
    <w:p w14:paraId="7F5277C5">
      <w:pPr>
        <w:jc w:val="right"/>
        <w:rPr>
          <w:rFonts w:hint="eastAsia" w:ascii="宋体" w:hAnsi="宋体" w:eastAsia="宋体" w:cs="宋体"/>
          <w:b/>
          <w:sz w:val="32"/>
          <w:szCs w:val="32"/>
        </w:rPr>
      </w:pPr>
      <w:r>
        <w:rPr>
          <w:rFonts w:hint="eastAsia" w:ascii="Calibri" w:hAnsi="Calibri" w:eastAsia="宋体" w:cs="Times New Roman"/>
          <w:szCs w:val="24"/>
        </w:rPr>
        <w:t xml:space="preserve">日期：    年  月 </w:t>
      </w:r>
      <w:r>
        <w:rPr>
          <w:rFonts w:hint="eastAsia" w:ascii="Calibri" w:hAnsi="Calibri" w:eastAsia="宋体" w:cs="Times New Roman"/>
          <w:szCs w:val="24"/>
          <w:lang w:val="en-US" w:eastAsia="zh-CN"/>
        </w:rPr>
        <w:t xml:space="preserve"> </w:t>
      </w:r>
      <w:r>
        <w:rPr>
          <w:rFonts w:hint="eastAsia" w:ascii="Calibri" w:hAnsi="Calibri" w:eastAsia="宋体" w:cs="Times New Roman"/>
          <w:szCs w:val="24"/>
        </w:rPr>
        <w:t xml:space="preserve"> 日</w:t>
      </w:r>
    </w:p>
    <w:tbl>
      <w:tblPr>
        <w:tblStyle w:val="6"/>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437"/>
        <w:gridCol w:w="913"/>
        <w:gridCol w:w="4866"/>
        <w:gridCol w:w="1726"/>
      </w:tblGrid>
      <w:tr w14:paraId="16E7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99" w:type="dxa"/>
            <w:vAlign w:val="center"/>
          </w:tcPr>
          <w:p w14:paraId="1C4FF047">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1437" w:type="dxa"/>
            <w:vAlign w:val="center"/>
          </w:tcPr>
          <w:p w14:paraId="0FF41D77">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评审分项</w:t>
            </w:r>
          </w:p>
        </w:tc>
        <w:tc>
          <w:tcPr>
            <w:tcW w:w="913" w:type="dxa"/>
            <w:vAlign w:val="center"/>
          </w:tcPr>
          <w:p w14:paraId="0F9E7547">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分值</w:t>
            </w:r>
          </w:p>
        </w:tc>
        <w:tc>
          <w:tcPr>
            <w:tcW w:w="4866" w:type="dxa"/>
            <w:vAlign w:val="center"/>
          </w:tcPr>
          <w:p w14:paraId="125F131E">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评审标准</w:t>
            </w:r>
          </w:p>
        </w:tc>
        <w:tc>
          <w:tcPr>
            <w:tcW w:w="1726" w:type="dxa"/>
            <w:vAlign w:val="center"/>
          </w:tcPr>
          <w:p w14:paraId="44DAD0C0">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得分</w:t>
            </w:r>
          </w:p>
        </w:tc>
      </w:tr>
      <w:tr w14:paraId="0D5F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799" w:type="dxa"/>
            <w:vAlign w:val="center"/>
          </w:tcPr>
          <w:p w14:paraId="14B1F413">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437" w:type="dxa"/>
            <w:vAlign w:val="center"/>
          </w:tcPr>
          <w:p w14:paraId="2E5A8119">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结构完整性</w:t>
            </w:r>
          </w:p>
        </w:tc>
        <w:tc>
          <w:tcPr>
            <w:tcW w:w="913" w:type="dxa"/>
            <w:vAlign w:val="center"/>
          </w:tcPr>
          <w:p w14:paraId="2DADDC3B">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15分</w:t>
            </w:r>
          </w:p>
        </w:tc>
        <w:tc>
          <w:tcPr>
            <w:tcW w:w="4866" w:type="dxa"/>
            <w:vAlign w:val="center"/>
          </w:tcPr>
          <w:p w14:paraId="58B0314F">
            <w:pPr>
              <w:spacing w:line="400" w:lineRule="exact"/>
              <w:rPr>
                <w:rFonts w:hint="eastAsia" w:ascii="仿宋_GB2312" w:hAnsi="宋体" w:eastAsia="仿宋_GB2312" w:cs="宋体"/>
                <w:kern w:val="0"/>
                <w:szCs w:val="21"/>
              </w:rPr>
            </w:pPr>
            <w:r>
              <w:rPr>
                <w:rFonts w:hint="eastAsia" w:ascii="仿宋_GB2312" w:hAnsi="宋体" w:eastAsia="仿宋_GB2312" w:cs="宋体"/>
                <w:kern w:val="0"/>
                <w:szCs w:val="21"/>
              </w:rPr>
              <w:t>服务建议书结构完整</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内容包括但不限于</w:t>
            </w:r>
            <w:r>
              <w:rPr>
                <w:rFonts w:hint="eastAsia" w:ascii="仿宋_GB2312" w:hAnsi="宋体" w:eastAsia="仿宋_GB2312" w:cs="宋体"/>
                <w:kern w:val="0"/>
                <w:szCs w:val="21"/>
                <w:lang w:val="en-US" w:eastAsia="zh-CN"/>
              </w:rPr>
              <w:t>项目本体分析、项目所在区域解读、项目定位等</w:t>
            </w:r>
            <w:r>
              <w:rPr>
                <w:rFonts w:hint="eastAsia" w:ascii="仿宋_GB2312" w:hAnsi="宋体" w:eastAsia="仿宋_GB2312" w:cs="宋体"/>
                <w:kern w:val="0"/>
                <w:szCs w:val="21"/>
              </w:rPr>
              <w:t>。</w:t>
            </w:r>
          </w:p>
          <w:p w14:paraId="16339DFD">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优：11-15分；良：6-10分；差:0-5分</w:t>
            </w:r>
          </w:p>
        </w:tc>
        <w:tc>
          <w:tcPr>
            <w:tcW w:w="1726" w:type="dxa"/>
            <w:vAlign w:val="center"/>
          </w:tcPr>
          <w:p w14:paraId="408B7659">
            <w:pPr>
              <w:spacing w:line="400" w:lineRule="exact"/>
              <w:rPr>
                <w:rFonts w:ascii="仿宋_GB2312" w:hAnsi="宋体" w:eastAsia="仿宋_GB2312" w:cs="宋体"/>
                <w:kern w:val="0"/>
                <w:szCs w:val="21"/>
              </w:rPr>
            </w:pPr>
          </w:p>
        </w:tc>
      </w:tr>
      <w:tr w14:paraId="424E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799" w:type="dxa"/>
            <w:vAlign w:val="center"/>
          </w:tcPr>
          <w:p w14:paraId="40CEBA9E">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437" w:type="dxa"/>
            <w:vAlign w:val="center"/>
          </w:tcPr>
          <w:p w14:paraId="61E34894">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定位合理性</w:t>
            </w:r>
          </w:p>
        </w:tc>
        <w:tc>
          <w:tcPr>
            <w:tcW w:w="913" w:type="dxa"/>
            <w:vAlign w:val="center"/>
          </w:tcPr>
          <w:p w14:paraId="736DC35C">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5</w:t>
            </w:r>
            <w:r>
              <w:rPr>
                <w:rFonts w:hint="eastAsia" w:ascii="仿宋_GB2312" w:hAnsi="宋体" w:eastAsia="仿宋_GB2312" w:cs="宋体"/>
                <w:kern w:val="0"/>
                <w:szCs w:val="21"/>
              </w:rPr>
              <w:t>分</w:t>
            </w:r>
          </w:p>
        </w:tc>
        <w:tc>
          <w:tcPr>
            <w:tcW w:w="4866" w:type="dxa"/>
            <w:vAlign w:val="center"/>
          </w:tcPr>
          <w:p w14:paraId="3CD48B51">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服务建议书对项目定位准确，符合项目区位条件及发展规划。优：11-15分；良：6-10分；差:0-5分</w:t>
            </w:r>
          </w:p>
        </w:tc>
        <w:tc>
          <w:tcPr>
            <w:tcW w:w="1726" w:type="dxa"/>
            <w:vAlign w:val="center"/>
          </w:tcPr>
          <w:p w14:paraId="7CD04FBE">
            <w:pPr>
              <w:spacing w:line="400" w:lineRule="exact"/>
              <w:rPr>
                <w:rFonts w:ascii="仿宋_GB2312" w:hAnsi="宋体" w:eastAsia="仿宋_GB2312" w:cs="宋体"/>
                <w:kern w:val="0"/>
                <w:szCs w:val="21"/>
              </w:rPr>
            </w:pPr>
          </w:p>
        </w:tc>
      </w:tr>
      <w:tr w14:paraId="2E2D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799" w:type="dxa"/>
            <w:vAlign w:val="center"/>
          </w:tcPr>
          <w:p w14:paraId="235BAED2">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437" w:type="dxa"/>
            <w:vAlign w:val="center"/>
          </w:tcPr>
          <w:p w14:paraId="3B458FFB">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项目亮点</w:t>
            </w:r>
          </w:p>
        </w:tc>
        <w:tc>
          <w:tcPr>
            <w:tcW w:w="913" w:type="dxa"/>
            <w:vAlign w:val="center"/>
          </w:tcPr>
          <w:p w14:paraId="62D2ABA2">
            <w:pPr>
              <w:spacing w:line="400" w:lineRule="exact"/>
              <w:rPr>
                <w:rFonts w:ascii="仿宋_GB2312" w:hAnsi="宋体" w:eastAsia="仿宋_GB2312" w:cs="宋体"/>
                <w:kern w:val="0"/>
                <w:szCs w:val="21"/>
              </w:rPr>
            </w:pPr>
            <w:r>
              <w:rPr>
                <w:rFonts w:hint="eastAsia" w:ascii="仿宋_GB2312" w:hAnsi="宋体" w:eastAsia="仿宋_GB2312" w:cs="宋体"/>
                <w:kern w:val="0"/>
                <w:szCs w:val="21"/>
                <w:lang w:val="en-US" w:eastAsia="zh-CN"/>
              </w:rPr>
              <w:t>10</w:t>
            </w:r>
            <w:r>
              <w:rPr>
                <w:rFonts w:hint="eastAsia" w:ascii="仿宋_GB2312" w:hAnsi="宋体" w:eastAsia="仿宋_GB2312" w:cs="宋体"/>
                <w:kern w:val="0"/>
                <w:szCs w:val="21"/>
              </w:rPr>
              <w:t>分</w:t>
            </w:r>
          </w:p>
        </w:tc>
        <w:tc>
          <w:tcPr>
            <w:tcW w:w="4866" w:type="dxa"/>
            <w:vAlign w:val="center"/>
          </w:tcPr>
          <w:p w14:paraId="6B5ED93D">
            <w:pPr>
              <w:spacing w:line="400" w:lineRule="exact"/>
              <w:rPr>
                <w:rFonts w:hint="eastAsia" w:ascii="仿宋_GB2312" w:hAnsi="宋体" w:eastAsia="仿宋_GB2312" w:cs="宋体"/>
                <w:kern w:val="0"/>
                <w:szCs w:val="21"/>
              </w:rPr>
            </w:pPr>
            <w:r>
              <w:rPr>
                <w:rFonts w:hint="eastAsia" w:ascii="仿宋_GB2312" w:hAnsi="宋体" w:eastAsia="仿宋_GB2312" w:cs="宋体"/>
                <w:kern w:val="0"/>
                <w:szCs w:val="21"/>
              </w:rPr>
              <w:t>服务建议书中有亮点</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内容包括但不限于</w:t>
            </w:r>
            <w:r>
              <w:rPr>
                <w:rFonts w:hint="eastAsia" w:ascii="仿宋_GB2312" w:hAnsi="宋体" w:eastAsia="仿宋_GB2312" w:cs="宋体"/>
                <w:kern w:val="0"/>
                <w:szCs w:val="21"/>
                <w:lang w:val="en-US" w:eastAsia="zh-CN"/>
              </w:rPr>
              <w:t>项目布局及落位、项目发展定位、区域解读</w:t>
            </w:r>
            <w:r>
              <w:rPr>
                <w:rFonts w:hint="eastAsia" w:ascii="仿宋_GB2312" w:hAnsi="宋体" w:eastAsia="仿宋_GB2312" w:cs="宋体"/>
                <w:kern w:val="0"/>
                <w:szCs w:val="21"/>
                <w:highlight w:val="none"/>
                <w:lang w:val="en-US" w:eastAsia="zh-CN"/>
              </w:rPr>
              <w:t>等的</w:t>
            </w:r>
            <w:r>
              <w:rPr>
                <w:rFonts w:hint="eastAsia" w:ascii="仿宋_GB2312" w:hAnsi="宋体" w:eastAsia="仿宋_GB2312" w:cs="宋体"/>
                <w:kern w:val="0"/>
                <w:szCs w:val="21"/>
                <w:lang w:val="en-US" w:eastAsia="zh-CN"/>
              </w:rPr>
              <w:t>亮点优势</w:t>
            </w:r>
            <w:r>
              <w:rPr>
                <w:rFonts w:hint="eastAsia" w:ascii="仿宋_GB2312" w:hAnsi="宋体" w:eastAsia="仿宋_GB2312" w:cs="宋体"/>
                <w:kern w:val="0"/>
                <w:szCs w:val="21"/>
              </w:rPr>
              <w:t>。</w:t>
            </w:r>
          </w:p>
          <w:p w14:paraId="4763B247">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优：7-10分；良：4-6分；差:0-3分</w:t>
            </w:r>
          </w:p>
        </w:tc>
        <w:tc>
          <w:tcPr>
            <w:tcW w:w="1726" w:type="dxa"/>
            <w:vAlign w:val="center"/>
          </w:tcPr>
          <w:p w14:paraId="2ED8FB72">
            <w:pPr>
              <w:spacing w:line="400" w:lineRule="exact"/>
              <w:rPr>
                <w:rFonts w:ascii="仿宋_GB2312" w:hAnsi="宋体" w:eastAsia="仿宋_GB2312" w:cs="宋体"/>
                <w:kern w:val="0"/>
                <w:szCs w:val="21"/>
              </w:rPr>
            </w:pPr>
          </w:p>
        </w:tc>
      </w:tr>
      <w:tr w14:paraId="0B8F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2236" w:type="dxa"/>
            <w:gridSpan w:val="2"/>
            <w:vAlign w:val="center"/>
          </w:tcPr>
          <w:p w14:paraId="38EF84B8">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合计</w:t>
            </w:r>
          </w:p>
        </w:tc>
        <w:tc>
          <w:tcPr>
            <w:tcW w:w="913" w:type="dxa"/>
            <w:vAlign w:val="center"/>
          </w:tcPr>
          <w:p w14:paraId="2359EDC6">
            <w:pPr>
              <w:spacing w:line="400" w:lineRule="exact"/>
              <w:rPr>
                <w:rFonts w:ascii="仿宋_GB2312" w:hAnsi="宋体" w:eastAsia="仿宋_GB2312" w:cs="宋体"/>
                <w:kern w:val="0"/>
                <w:szCs w:val="21"/>
              </w:rPr>
            </w:pPr>
            <w:r>
              <w:rPr>
                <w:rFonts w:hint="eastAsia" w:ascii="仿宋_GB2312" w:hAnsi="宋体" w:eastAsia="仿宋_GB2312" w:cs="宋体"/>
                <w:kern w:val="0"/>
                <w:szCs w:val="21"/>
                <w:lang w:val="en-US" w:eastAsia="zh-CN"/>
              </w:rPr>
              <w:t>4</w:t>
            </w:r>
            <w:r>
              <w:rPr>
                <w:rFonts w:hint="eastAsia" w:ascii="仿宋_GB2312" w:hAnsi="宋体" w:eastAsia="仿宋_GB2312" w:cs="宋体"/>
                <w:kern w:val="0"/>
                <w:szCs w:val="21"/>
              </w:rPr>
              <w:t>0分</w:t>
            </w:r>
          </w:p>
        </w:tc>
        <w:tc>
          <w:tcPr>
            <w:tcW w:w="4866" w:type="dxa"/>
            <w:vAlign w:val="center"/>
          </w:tcPr>
          <w:p w14:paraId="4FA775BB">
            <w:pPr>
              <w:spacing w:line="400" w:lineRule="exact"/>
              <w:rPr>
                <w:rFonts w:ascii="仿宋_GB2312" w:hAnsi="宋体" w:eastAsia="仿宋_GB2312" w:cs="宋体"/>
                <w:kern w:val="0"/>
                <w:szCs w:val="21"/>
              </w:rPr>
            </w:pPr>
          </w:p>
        </w:tc>
        <w:tc>
          <w:tcPr>
            <w:tcW w:w="1726" w:type="dxa"/>
            <w:vAlign w:val="center"/>
          </w:tcPr>
          <w:p w14:paraId="6F210837">
            <w:pPr>
              <w:spacing w:line="400" w:lineRule="exact"/>
              <w:rPr>
                <w:rFonts w:ascii="仿宋_GB2312" w:hAnsi="宋体" w:eastAsia="仿宋_GB2312" w:cs="宋体"/>
                <w:kern w:val="0"/>
                <w:szCs w:val="21"/>
              </w:rPr>
            </w:pPr>
          </w:p>
        </w:tc>
      </w:tr>
    </w:tbl>
    <w:p w14:paraId="333D124C">
      <w:pPr>
        <w:rPr>
          <w:rFonts w:hint="eastAsia" w:ascii="仿宋_GB2312" w:hAnsi="仿宋_GB2312" w:eastAsia="仿宋_GB2312" w:cs="仿宋_GB2312"/>
          <w:szCs w:val="24"/>
        </w:rPr>
      </w:pPr>
      <w:r>
        <w:rPr>
          <w:rFonts w:hint="eastAsia" w:ascii="仿宋_GB2312" w:hAnsi="仿宋_GB2312" w:eastAsia="仿宋_GB2312" w:cs="仿宋_GB2312"/>
          <w:szCs w:val="24"/>
        </w:rPr>
        <w:t>评委签名：</w:t>
      </w:r>
    </w:p>
    <w:bookmarkEnd w:id="7"/>
    <w:bookmarkEnd w:id="8"/>
    <w:p w14:paraId="375350C4">
      <w:pPr>
        <w:keepNext/>
        <w:keepLines/>
        <w:spacing w:before="260" w:after="260" w:line="400" w:lineRule="exact"/>
        <w:jc w:val="center"/>
        <w:outlineLvl w:val="1"/>
        <w:rPr>
          <w:rFonts w:ascii="宋体" w:hAnsi="宋体" w:eastAsia="宋体" w:cs="宋体"/>
          <w:b/>
          <w:sz w:val="32"/>
          <w:szCs w:val="32"/>
        </w:rPr>
      </w:pPr>
      <w:r>
        <w:rPr>
          <w:rFonts w:hint="eastAsia" w:ascii="宋体" w:hAnsi="宋体" w:eastAsia="宋体" w:cs="宋体"/>
          <w:b/>
          <w:sz w:val="32"/>
          <w:szCs w:val="32"/>
        </w:rPr>
        <w:t>综合评审汇总表</w:t>
      </w:r>
    </w:p>
    <w:tbl>
      <w:tblPr>
        <w:tblStyle w:val="6"/>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287"/>
        <w:gridCol w:w="1532"/>
        <w:gridCol w:w="1861"/>
        <w:gridCol w:w="1393"/>
        <w:gridCol w:w="1393"/>
      </w:tblGrid>
      <w:tr w14:paraId="6FB9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941" w:type="dxa"/>
            <w:vAlign w:val="center"/>
          </w:tcPr>
          <w:p w14:paraId="712271A3">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有效竞投人名称</w:t>
            </w:r>
          </w:p>
        </w:tc>
        <w:tc>
          <w:tcPr>
            <w:tcW w:w="2287" w:type="dxa"/>
            <w:vAlign w:val="center"/>
          </w:tcPr>
          <w:p w14:paraId="1091B4D3">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商务</w:t>
            </w:r>
            <w:r>
              <w:rPr>
                <w:rFonts w:hint="eastAsia" w:ascii="仿宋_GB2312" w:hAnsi="宋体" w:eastAsia="仿宋_GB2312" w:cs="宋体"/>
                <w:kern w:val="0"/>
                <w:szCs w:val="21"/>
              </w:rPr>
              <w:t>得分</w:t>
            </w:r>
          </w:p>
        </w:tc>
        <w:tc>
          <w:tcPr>
            <w:tcW w:w="1532" w:type="dxa"/>
            <w:vAlign w:val="center"/>
          </w:tcPr>
          <w:p w14:paraId="50CF9612">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价格得分</w:t>
            </w:r>
          </w:p>
        </w:tc>
        <w:tc>
          <w:tcPr>
            <w:tcW w:w="1861" w:type="dxa"/>
            <w:vAlign w:val="center"/>
          </w:tcPr>
          <w:p w14:paraId="538CF8F2">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项目方案得分</w:t>
            </w:r>
          </w:p>
        </w:tc>
        <w:tc>
          <w:tcPr>
            <w:tcW w:w="1393" w:type="dxa"/>
            <w:vAlign w:val="center"/>
          </w:tcPr>
          <w:p w14:paraId="5A801E53">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总得分</w:t>
            </w:r>
          </w:p>
        </w:tc>
        <w:tc>
          <w:tcPr>
            <w:tcW w:w="1393" w:type="dxa"/>
            <w:vAlign w:val="center"/>
          </w:tcPr>
          <w:p w14:paraId="4D34FE9F">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排名</w:t>
            </w:r>
          </w:p>
        </w:tc>
      </w:tr>
      <w:tr w14:paraId="7D2B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41" w:type="dxa"/>
            <w:vAlign w:val="center"/>
          </w:tcPr>
          <w:p w14:paraId="013D6276">
            <w:pPr>
              <w:spacing w:line="400" w:lineRule="exact"/>
              <w:rPr>
                <w:rFonts w:ascii="仿宋_GB2312" w:hAnsi="宋体" w:eastAsia="仿宋_GB2312" w:cs="宋体"/>
                <w:kern w:val="0"/>
                <w:szCs w:val="21"/>
              </w:rPr>
            </w:pPr>
          </w:p>
        </w:tc>
        <w:tc>
          <w:tcPr>
            <w:tcW w:w="2287" w:type="dxa"/>
            <w:vAlign w:val="center"/>
          </w:tcPr>
          <w:p w14:paraId="402D785E">
            <w:pPr>
              <w:spacing w:line="400" w:lineRule="exact"/>
              <w:rPr>
                <w:rFonts w:ascii="仿宋_GB2312" w:hAnsi="宋体" w:eastAsia="仿宋_GB2312" w:cs="宋体"/>
                <w:kern w:val="0"/>
                <w:szCs w:val="21"/>
              </w:rPr>
            </w:pPr>
          </w:p>
        </w:tc>
        <w:tc>
          <w:tcPr>
            <w:tcW w:w="1532" w:type="dxa"/>
            <w:vAlign w:val="center"/>
          </w:tcPr>
          <w:p w14:paraId="4010F2E9">
            <w:pPr>
              <w:spacing w:line="400" w:lineRule="exact"/>
              <w:rPr>
                <w:rFonts w:ascii="仿宋_GB2312" w:hAnsi="宋体" w:eastAsia="仿宋_GB2312" w:cs="宋体"/>
                <w:kern w:val="0"/>
                <w:szCs w:val="21"/>
              </w:rPr>
            </w:pPr>
          </w:p>
        </w:tc>
        <w:tc>
          <w:tcPr>
            <w:tcW w:w="1861" w:type="dxa"/>
            <w:vAlign w:val="center"/>
          </w:tcPr>
          <w:p w14:paraId="401515E8">
            <w:pPr>
              <w:spacing w:line="400" w:lineRule="exact"/>
              <w:rPr>
                <w:rFonts w:ascii="仿宋_GB2312" w:hAnsi="宋体" w:eastAsia="仿宋_GB2312" w:cs="宋体"/>
                <w:kern w:val="0"/>
                <w:szCs w:val="21"/>
              </w:rPr>
            </w:pPr>
          </w:p>
        </w:tc>
        <w:tc>
          <w:tcPr>
            <w:tcW w:w="1393" w:type="dxa"/>
          </w:tcPr>
          <w:p w14:paraId="237A2582">
            <w:pPr>
              <w:spacing w:line="400" w:lineRule="exact"/>
              <w:rPr>
                <w:rFonts w:ascii="仿宋_GB2312" w:hAnsi="宋体" w:eastAsia="仿宋_GB2312" w:cs="宋体"/>
                <w:kern w:val="0"/>
                <w:szCs w:val="21"/>
              </w:rPr>
            </w:pPr>
          </w:p>
        </w:tc>
        <w:tc>
          <w:tcPr>
            <w:tcW w:w="1393" w:type="dxa"/>
          </w:tcPr>
          <w:p w14:paraId="2C643101">
            <w:pPr>
              <w:spacing w:line="400" w:lineRule="exact"/>
              <w:rPr>
                <w:rFonts w:ascii="仿宋_GB2312" w:hAnsi="宋体" w:eastAsia="仿宋_GB2312" w:cs="宋体"/>
                <w:kern w:val="0"/>
                <w:szCs w:val="21"/>
              </w:rPr>
            </w:pPr>
          </w:p>
        </w:tc>
      </w:tr>
      <w:tr w14:paraId="427E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41" w:type="dxa"/>
            <w:vAlign w:val="center"/>
          </w:tcPr>
          <w:p w14:paraId="7A34EAC9">
            <w:pPr>
              <w:spacing w:line="400" w:lineRule="exact"/>
              <w:rPr>
                <w:rFonts w:ascii="仿宋_GB2312" w:hAnsi="宋体" w:eastAsia="仿宋_GB2312" w:cs="宋体"/>
                <w:kern w:val="0"/>
                <w:szCs w:val="21"/>
              </w:rPr>
            </w:pPr>
          </w:p>
        </w:tc>
        <w:tc>
          <w:tcPr>
            <w:tcW w:w="2287" w:type="dxa"/>
            <w:vAlign w:val="center"/>
          </w:tcPr>
          <w:p w14:paraId="78E5C085">
            <w:pPr>
              <w:spacing w:line="400" w:lineRule="exact"/>
              <w:rPr>
                <w:rFonts w:ascii="仿宋_GB2312" w:hAnsi="宋体" w:eastAsia="仿宋_GB2312" w:cs="宋体"/>
                <w:kern w:val="0"/>
                <w:szCs w:val="21"/>
              </w:rPr>
            </w:pPr>
          </w:p>
        </w:tc>
        <w:tc>
          <w:tcPr>
            <w:tcW w:w="1532" w:type="dxa"/>
            <w:vAlign w:val="center"/>
          </w:tcPr>
          <w:p w14:paraId="1AD4C0DC">
            <w:pPr>
              <w:spacing w:line="400" w:lineRule="exact"/>
              <w:rPr>
                <w:rFonts w:ascii="仿宋_GB2312" w:hAnsi="宋体" w:eastAsia="仿宋_GB2312" w:cs="宋体"/>
                <w:kern w:val="0"/>
                <w:szCs w:val="21"/>
              </w:rPr>
            </w:pPr>
          </w:p>
        </w:tc>
        <w:tc>
          <w:tcPr>
            <w:tcW w:w="1861" w:type="dxa"/>
            <w:vAlign w:val="center"/>
          </w:tcPr>
          <w:p w14:paraId="1A4F6799">
            <w:pPr>
              <w:spacing w:line="400" w:lineRule="exact"/>
              <w:rPr>
                <w:rFonts w:ascii="仿宋_GB2312" w:hAnsi="宋体" w:eastAsia="仿宋_GB2312" w:cs="宋体"/>
                <w:kern w:val="0"/>
                <w:szCs w:val="21"/>
              </w:rPr>
            </w:pPr>
          </w:p>
        </w:tc>
        <w:tc>
          <w:tcPr>
            <w:tcW w:w="1393" w:type="dxa"/>
          </w:tcPr>
          <w:p w14:paraId="65225B93">
            <w:pPr>
              <w:spacing w:line="400" w:lineRule="exact"/>
              <w:rPr>
                <w:rFonts w:ascii="仿宋_GB2312" w:hAnsi="宋体" w:eastAsia="仿宋_GB2312" w:cs="宋体"/>
                <w:kern w:val="0"/>
                <w:szCs w:val="21"/>
              </w:rPr>
            </w:pPr>
          </w:p>
        </w:tc>
        <w:tc>
          <w:tcPr>
            <w:tcW w:w="1393" w:type="dxa"/>
          </w:tcPr>
          <w:p w14:paraId="2F8C9A5B">
            <w:pPr>
              <w:spacing w:line="400" w:lineRule="exact"/>
              <w:rPr>
                <w:rFonts w:ascii="仿宋_GB2312" w:hAnsi="宋体" w:eastAsia="仿宋_GB2312" w:cs="宋体"/>
                <w:kern w:val="0"/>
                <w:szCs w:val="21"/>
              </w:rPr>
            </w:pPr>
          </w:p>
        </w:tc>
      </w:tr>
      <w:tr w14:paraId="3C69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14:paraId="02B184AA">
            <w:pPr>
              <w:spacing w:line="400" w:lineRule="exact"/>
              <w:rPr>
                <w:rFonts w:ascii="仿宋_GB2312" w:hAnsi="宋体" w:eastAsia="仿宋_GB2312" w:cs="宋体"/>
                <w:kern w:val="0"/>
                <w:szCs w:val="21"/>
              </w:rPr>
            </w:pPr>
          </w:p>
        </w:tc>
        <w:tc>
          <w:tcPr>
            <w:tcW w:w="2287" w:type="dxa"/>
            <w:vAlign w:val="center"/>
          </w:tcPr>
          <w:p w14:paraId="527C59DF">
            <w:pPr>
              <w:spacing w:line="400" w:lineRule="exact"/>
              <w:rPr>
                <w:rFonts w:ascii="仿宋_GB2312" w:hAnsi="宋体" w:eastAsia="仿宋_GB2312" w:cs="宋体"/>
                <w:kern w:val="0"/>
                <w:szCs w:val="21"/>
              </w:rPr>
            </w:pPr>
          </w:p>
        </w:tc>
        <w:tc>
          <w:tcPr>
            <w:tcW w:w="1532" w:type="dxa"/>
            <w:vAlign w:val="center"/>
          </w:tcPr>
          <w:p w14:paraId="00FF816F">
            <w:pPr>
              <w:spacing w:line="400" w:lineRule="exact"/>
              <w:rPr>
                <w:rFonts w:ascii="仿宋_GB2312" w:hAnsi="宋体" w:eastAsia="仿宋_GB2312" w:cs="宋体"/>
                <w:kern w:val="0"/>
                <w:szCs w:val="21"/>
              </w:rPr>
            </w:pPr>
          </w:p>
        </w:tc>
        <w:tc>
          <w:tcPr>
            <w:tcW w:w="1861" w:type="dxa"/>
            <w:vAlign w:val="center"/>
          </w:tcPr>
          <w:p w14:paraId="517CD8AD">
            <w:pPr>
              <w:spacing w:line="400" w:lineRule="exact"/>
              <w:rPr>
                <w:rFonts w:ascii="仿宋_GB2312" w:hAnsi="宋体" w:eastAsia="仿宋_GB2312" w:cs="宋体"/>
                <w:kern w:val="0"/>
                <w:szCs w:val="21"/>
              </w:rPr>
            </w:pPr>
          </w:p>
        </w:tc>
        <w:tc>
          <w:tcPr>
            <w:tcW w:w="1393" w:type="dxa"/>
          </w:tcPr>
          <w:p w14:paraId="1177C91A">
            <w:pPr>
              <w:spacing w:line="400" w:lineRule="exact"/>
              <w:rPr>
                <w:rFonts w:ascii="仿宋_GB2312" w:hAnsi="宋体" w:eastAsia="仿宋_GB2312" w:cs="宋体"/>
                <w:kern w:val="0"/>
                <w:szCs w:val="21"/>
              </w:rPr>
            </w:pPr>
          </w:p>
        </w:tc>
        <w:tc>
          <w:tcPr>
            <w:tcW w:w="1393" w:type="dxa"/>
          </w:tcPr>
          <w:p w14:paraId="34F183DE">
            <w:pPr>
              <w:spacing w:line="400" w:lineRule="exact"/>
              <w:rPr>
                <w:rFonts w:ascii="仿宋_GB2312" w:hAnsi="宋体" w:eastAsia="仿宋_GB2312" w:cs="宋体"/>
                <w:kern w:val="0"/>
                <w:szCs w:val="21"/>
              </w:rPr>
            </w:pPr>
          </w:p>
        </w:tc>
      </w:tr>
      <w:tr w14:paraId="23D8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14:paraId="2FB6E616">
            <w:pPr>
              <w:spacing w:line="400" w:lineRule="exact"/>
              <w:rPr>
                <w:rFonts w:ascii="仿宋_GB2312" w:hAnsi="宋体" w:eastAsia="仿宋_GB2312" w:cs="宋体"/>
                <w:kern w:val="0"/>
                <w:szCs w:val="21"/>
              </w:rPr>
            </w:pPr>
          </w:p>
        </w:tc>
        <w:tc>
          <w:tcPr>
            <w:tcW w:w="2287" w:type="dxa"/>
            <w:vAlign w:val="center"/>
          </w:tcPr>
          <w:p w14:paraId="6DA4920B">
            <w:pPr>
              <w:spacing w:line="400" w:lineRule="exact"/>
              <w:rPr>
                <w:rFonts w:ascii="仿宋_GB2312" w:hAnsi="宋体" w:eastAsia="仿宋_GB2312" w:cs="宋体"/>
                <w:kern w:val="0"/>
                <w:szCs w:val="21"/>
              </w:rPr>
            </w:pPr>
          </w:p>
        </w:tc>
        <w:tc>
          <w:tcPr>
            <w:tcW w:w="1532" w:type="dxa"/>
            <w:vAlign w:val="center"/>
          </w:tcPr>
          <w:p w14:paraId="428750F2">
            <w:pPr>
              <w:spacing w:line="400" w:lineRule="exact"/>
              <w:rPr>
                <w:rFonts w:ascii="仿宋_GB2312" w:hAnsi="宋体" w:eastAsia="仿宋_GB2312" w:cs="宋体"/>
                <w:kern w:val="0"/>
                <w:szCs w:val="21"/>
              </w:rPr>
            </w:pPr>
          </w:p>
        </w:tc>
        <w:tc>
          <w:tcPr>
            <w:tcW w:w="1861" w:type="dxa"/>
            <w:vAlign w:val="center"/>
          </w:tcPr>
          <w:p w14:paraId="401F4D24">
            <w:pPr>
              <w:spacing w:line="400" w:lineRule="exact"/>
              <w:rPr>
                <w:rFonts w:ascii="仿宋_GB2312" w:hAnsi="宋体" w:eastAsia="仿宋_GB2312" w:cs="宋体"/>
                <w:kern w:val="0"/>
                <w:szCs w:val="21"/>
              </w:rPr>
            </w:pPr>
          </w:p>
        </w:tc>
        <w:tc>
          <w:tcPr>
            <w:tcW w:w="1393" w:type="dxa"/>
          </w:tcPr>
          <w:p w14:paraId="712CA5B1">
            <w:pPr>
              <w:spacing w:line="400" w:lineRule="exact"/>
              <w:rPr>
                <w:rFonts w:ascii="仿宋_GB2312" w:hAnsi="宋体" w:eastAsia="仿宋_GB2312" w:cs="宋体"/>
                <w:kern w:val="0"/>
                <w:szCs w:val="21"/>
              </w:rPr>
            </w:pPr>
          </w:p>
        </w:tc>
        <w:tc>
          <w:tcPr>
            <w:tcW w:w="1393" w:type="dxa"/>
          </w:tcPr>
          <w:p w14:paraId="0A0C4DB2">
            <w:pPr>
              <w:spacing w:line="400" w:lineRule="exact"/>
              <w:rPr>
                <w:rFonts w:ascii="仿宋_GB2312" w:hAnsi="宋体" w:eastAsia="仿宋_GB2312" w:cs="宋体"/>
                <w:kern w:val="0"/>
                <w:szCs w:val="21"/>
              </w:rPr>
            </w:pPr>
          </w:p>
        </w:tc>
      </w:tr>
      <w:tr w14:paraId="195D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14:paraId="021691CC">
            <w:pPr>
              <w:spacing w:line="400" w:lineRule="exact"/>
              <w:rPr>
                <w:rFonts w:ascii="仿宋_GB2312" w:hAnsi="宋体" w:eastAsia="仿宋_GB2312" w:cs="宋体"/>
                <w:kern w:val="0"/>
                <w:szCs w:val="21"/>
              </w:rPr>
            </w:pPr>
          </w:p>
        </w:tc>
        <w:tc>
          <w:tcPr>
            <w:tcW w:w="2287" w:type="dxa"/>
            <w:vAlign w:val="center"/>
          </w:tcPr>
          <w:p w14:paraId="3C835D6F">
            <w:pPr>
              <w:spacing w:line="400" w:lineRule="exact"/>
              <w:rPr>
                <w:rFonts w:ascii="仿宋_GB2312" w:hAnsi="宋体" w:eastAsia="仿宋_GB2312" w:cs="宋体"/>
                <w:kern w:val="0"/>
                <w:szCs w:val="21"/>
              </w:rPr>
            </w:pPr>
          </w:p>
        </w:tc>
        <w:tc>
          <w:tcPr>
            <w:tcW w:w="1532" w:type="dxa"/>
            <w:vAlign w:val="center"/>
          </w:tcPr>
          <w:p w14:paraId="79E64CB4">
            <w:pPr>
              <w:spacing w:line="400" w:lineRule="exact"/>
              <w:rPr>
                <w:rFonts w:ascii="仿宋_GB2312" w:hAnsi="宋体" w:eastAsia="仿宋_GB2312" w:cs="宋体"/>
                <w:kern w:val="0"/>
                <w:szCs w:val="21"/>
              </w:rPr>
            </w:pPr>
          </w:p>
        </w:tc>
        <w:tc>
          <w:tcPr>
            <w:tcW w:w="1861" w:type="dxa"/>
            <w:vAlign w:val="center"/>
          </w:tcPr>
          <w:p w14:paraId="62F012F6">
            <w:pPr>
              <w:spacing w:line="400" w:lineRule="exact"/>
              <w:rPr>
                <w:rFonts w:ascii="仿宋_GB2312" w:hAnsi="宋体" w:eastAsia="仿宋_GB2312" w:cs="宋体"/>
                <w:kern w:val="0"/>
                <w:szCs w:val="21"/>
              </w:rPr>
            </w:pPr>
          </w:p>
        </w:tc>
        <w:tc>
          <w:tcPr>
            <w:tcW w:w="1393" w:type="dxa"/>
          </w:tcPr>
          <w:p w14:paraId="6ABB088C">
            <w:pPr>
              <w:spacing w:line="400" w:lineRule="exact"/>
              <w:rPr>
                <w:rFonts w:ascii="仿宋_GB2312" w:hAnsi="宋体" w:eastAsia="仿宋_GB2312" w:cs="宋体"/>
                <w:kern w:val="0"/>
                <w:szCs w:val="21"/>
              </w:rPr>
            </w:pPr>
          </w:p>
        </w:tc>
        <w:tc>
          <w:tcPr>
            <w:tcW w:w="1393" w:type="dxa"/>
          </w:tcPr>
          <w:p w14:paraId="2E3A531B">
            <w:pPr>
              <w:spacing w:line="400" w:lineRule="exact"/>
              <w:rPr>
                <w:rFonts w:ascii="仿宋_GB2312" w:hAnsi="宋体" w:eastAsia="仿宋_GB2312" w:cs="宋体"/>
                <w:kern w:val="0"/>
                <w:szCs w:val="21"/>
              </w:rPr>
            </w:pPr>
          </w:p>
        </w:tc>
      </w:tr>
    </w:tbl>
    <w:p w14:paraId="71F54312">
      <w:pPr>
        <w:rPr>
          <w:rFonts w:ascii="Calibri" w:hAnsi="Calibri" w:eastAsia="宋体" w:cs="Times New Roman"/>
          <w:szCs w:val="24"/>
        </w:rPr>
      </w:pPr>
    </w:p>
    <w:p w14:paraId="4DC1DE29">
      <w:pPr>
        <w:rPr>
          <w:rFonts w:hint="eastAsia" w:ascii="仿宋_GB2312" w:hAnsi="仿宋_GB2312" w:eastAsia="仿宋_GB2312" w:cs="仿宋_GB2312"/>
          <w:szCs w:val="24"/>
        </w:rPr>
      </w:pPr>
      <w:r>
        <w:rPr>
          <w:rFonts w:hint="eastAsia" w:ascii="仿宋_GB2312" w:hAnsi="仿宋_GB2312" w:eastAsia="仿宋_GB2312" w:cs="仿宋_GB2312"/>
          <w:szCs w:val="24"/>
        </w:rPr>
        <w:t>评委签名：</w:t>
      </w:r>
    </w:p>
    <w:p w14:paraId="3DB7DFAE">
      <w:pPr>
        <w:spacing w:line="400" w:lineRule="exact"/>
        <w:rPr>
          <w:rFonts w:ascii="仿宋_GB2312" w:hAnsi="宋体" w:eastAsia="仿宋_GB2312" w:cs="宋体"/>
          <w:bCs/>
          <w:sz w:val="36"/>
          <w:szCs w:val="36"/>
        </w:rPr>
      </w:pPr>
      <w:r>
        <w:rPr>
          <w:rFonts w:ascii="Calibri" w:hAnsi="Calibri" w:eastAsia="宋体" w:cs="Times New Roman"/>
          <w:sz w:val="36"/>
          <w:szCs w:val="36"/>
        </w:rPr>
        <w:br w:type="page"/>
      </w:r>
      <w:r>
        <w:rPr>
          <w:rFonts w:hint="eastAsia" w:ascii="仿宋_GB2312" w:hAnsi="Calibri" w:eastAsia="仿宋_GB2312" w:cs="Times New Roman"/>
          <w:b/>
          <w:sz w:val="36"/>
          <w:szCs w:val="36"/>
        </w:rPr>
        <w:t>四、采购合同/协议</w:t>
      </w:r>
      <w:bookmarkStart w:id="15" w:name="_GoBack"/>
      <w:bookmarkEnd w:id="15"/>
    </w:p>
    <w:p w14:paraId="47354CF2">
      <w:pPr>
        <w:keepNext/>
        <w:spacing w:line="400" w:lineRule="exact"/>
        <w:ind w:right="-441" w:rightChars="-210"/>
        <w:jc w:val="center"/>
        <w:outlineLvl w:val="0"/>
        <w:rPr>
          <w:rFonts w:ascii="仿宋_GB2312" w:hAnsi="宋体" w:eastAsia="仿宋_GB2312" w:cs="宋体"/>
          <w:bCs/>
          <w:kern w:val="44"/>
          <w:szCs w:val="21"/>
        </w:rPr>
      </w:pPr>
      <w:r>
        <w:rPr>
          <w:rFonts w:hint="eastAsia" w:ascii="仿宋_GB2312" w:hAnsi="宋体" w:eastAsia="仿宋_GB2312" w:cs="宋体"/>
          <w:bCs/>
          <w:kern w:val="44"/>
          <w:szCs w:val="21"/>
        </w:rPr>
        <w:t>（参考样本，未经采购人同意中选人不能对合同条款作实质性修改）</w:t>
      </w:r>
    </w:p>
    <w:p w14:paraId="33C7FFF5">
      <w:pPr>
        <w:spacing w:line="400" w:lineRule="exact"/>
        <w:rPr>
          <w:rFonts w:ascii="仿宋_GB2312" w:hAnsi="Calibri" w:eastAsia="仿宋_GB2312" w:cs="Times New Roman"/>
          <w:szCs w:val="24"/>
        </w:rPr>
      </w:pPr>
    </w:p>
    <w:p w14:paraId="5B8D9CDF">
      <w:pPr>
        <w:spacing w:line="400" w:lineRule="exact"/>
        <w:rPr>
          <w:rFonts w:ascii="仿宋_GB2312" w:eastAsia="仿宋_GB2312"/>
          <w:szCs w:val="24"/>
        </w:rPr>
      </w:pPr>
      <w:r>
        <w:rPr>
          <w:rFonts w:hint="eastAsia" w:ascii="仿宋_GB2312" w:eastAsia="仿宋_GB2312"/>
          <w:szCs w:val="24"/>
        </w:rPr>
        <w:t>合同编号：</w:t>
      </w:r>
    </w:p>
    <w:p w14:paraId="703A1D4E">
      <w:pPr>
        <w:tabs>
          <w:tab w:val="left" w:pos="3960"/>
        </w:tabs>
        <w:spacing w:line="400" w:lineRule="exact"/>
        <w:ind w:right="420" w:rightChars="200"/>
        <w:jc w:val="center"/>
        <w:rPr>
          <w:rFonts w:ascii="仿宋_GB2312" w:hAnsi="Arial" w:eastAsia="仿宋_GB2312" w:cs="Arial"/>
          <w:b/>
          <w:sz w:val="30"/>
          <w:szCs w:val="30"/>
        </w:rPr>
      </w:pPr>
    </w:p>
    <w:tbl>
      <w:tblPr>
        <w:tblStyle w:val="6"/>
        <w:tblW w:w="9262" w:type="dxa"/>
        <w:tblInd w:w="-189" w:type="dxa"/>
        <w:tblLayout w:type="fixed"/>
        <w:tblCellMar>
          <w:top w:w="0" w:type="dxa"/>
          <w:left w:w="0" w:type="dxa"/>
          <w:bottom w:w="0" w:type="dxa"/>
          <w:right w:w="0" w:type="dxa"/>
        </w:tblCellMar>
      </w:tblPr>
      <w:tblGrid>
        <w:gridCol w:w="9262"/>
      </w:tblGrid>
      <w:tr w14:paraId="17DABC8A">
        <w:tblPrEx>
          <w:tblCellMar>
            <w:top w:w="0" w:type="dxa"/>
            <w:left w:w="0" w:type="dxa"/>
            <w:bottom w:w="0" w:type="dxa"/>
            <w:right w:w="0" w:type="dxa"/>
          </w:tblCellMar>
        </w:tblPrEx>
        <w:trPr>
          <w:trHeight w:val="1323" w:hRule="atLeast"/>
        </w:trPr>
        <w:tc>
          <w:tcPr>
            <w:tcW w:w="9262" w:type="dxa"/>
            <w:noWrap w:val="0"/>
            <w:vAlign w:val="top"/>
          </w:tcPr>
          <w:p w14:paraId="0E459AED">
            <w:pPr>
              <w:widowControl/>
              <w:jc w:val="left"/>
              <w:rPr>
                <w:rFonts w:ascii="微软雅黑" w:hAnsi="微软雅黑" w:eastAsia="微软雅黑" w:cs="Calibri"/>
                <w:kern w:val="0"/>
                <w:sz w:val="16"/>
                <w:szCs w:val="16"/>
              </w:rPr>
            </w:pPr>
          </w:p>
        </w:tc>
      </w:tr>
      <w:tr w14:paraId="61B134A0">
        <w:tblPrEx>
          <w:tblCellMar>
            <w:top w:w="0" w:type="dxa"/>
            <w:left w:w="0" w:type="dxa"/>
            <w:bottom w:w="0" w:type="dxa"/>
            <w:right w:w="0" w:type="dxa"/>
          </w:tblCellMar>
        </w:tblPrEx>
        <w:trPr>
          <w:trHeight w:val="4322" w:hRule="exact"/>
        </w:trPr>
        <w:tc>
          <w:tcPr>
            <w:tcW w:w="9262" w:type="dxa"/>
            <w:noWrap w:val="0"/>
            <w:vAlign w:val="top"/>
          </w:tcPr>
          <w:p w14:paraId="53F0159A">
            <w:pPr>
              <w:spacing w:line="276" w:lineRule="auto"/>
              <w:jc w:val="center"/>
              <w:rPr>
                <w:rFonts w:ascii="微软雅黑" w:hAnsi="微软雅黑" w:eastAsia="微软雅黑" w:cs="Calibri"/>
                <w:b/>
                <w:kern w:val="0"/>
                <w:sz w:val="56"/>
                <w:szCs w:val="16"/>
              </w:rPr>
            </w:pPr>
            <w:r>
              <w:rPr>
                <w:rFonts w:hint="eastAsia" w:ascii="微软雅黑" w:hAnsi="微软雅黑" w:eastAsia="微软雅黑" w:cs="Calibri"/>
                <w:b/>
                <w:kern w:val="0"/>
                <w:sz w:val="56"/>
                <w:szCs w:val="16"/>
              </w:rPr>
              <w:t>花果山超高清视频产业特色小镇项目定位策划报告合作合同</w:t>
            </w:r>
          </w:p>
        </w:tc>
      </w:tr>
      <w:tr w14:paraId="41C29FFB">
        <w:tblPrEx>
          <w:tblCellMar>
            <w:top w:w="0" w:type="dxa"/>
            <w:left w:w="0" w:type="dxa"/>
            <w:bottom w:w="0" w:type="dxa"/>
            <w:right w:w="0" w:type="dxa"/>
          </w:tblCellMar>
        </w:tblPrEx>
        <w:trPr>
          <w:trHeight w:val="2551" w:hRule="atLeast"/>
        </w:trPr>
        <w:tc>
          <w:tcPr>
            <w:tcW w:w="9262" w:type="dxa"/>
            <w:noWrap w:val="0"/>
            <w:vAlign w:val="top"/>
          </w:tcPr>
          <w:p w14:paraId="3A632DBC">
            <w:pPr>
              <w:widowControl/>
              <w:spacing w:line="260" w:lineRule="atLeast"/>
              <w:jc w:val="left"/>
              <w:rPr>
                <w:rFonts w:ascii="微软雅黑" w:hAnsi="微软雅黑" w:eastAsia="微软雅黑" w:cs="Calibri"/>
                <w:kern w:val="0"/>
                <w:sz w:val="18"/>
                <w:szCs w:val="20"/>
              </w:rPr>
            </w:pPr>
          </w:p>
          <w:p w14:paraId="70858003">
            <w:pPr>
              <w:widowControl/>
              <w:spacing w:line="260" w:lineRule="atLeast"/>
              <w:jc w:val="left"/>
              <w:rPr>
                <w:rFonts w:ascii="微软雅黑" w:hAnsi="微软雅黑" w:eastAsia="微软雅黑" w:cs="Calibri"/>
                <w:kern w:val="0"/>
                <w:sz w:val="18"/>
                <w:szCs w:val="20"/>
              </w:rPr>
            </w:pPr>
          </w:p>
          <w:p w14:paraId="01843D8A">
            <w:pPr>
              <w:widowControl/>
              <w:spacing w:line="260" w:lineRule="atLeast"/>
              <w:jc w:val="left"/>
              <w:rPr>
                <w:rFonts w:ascii="微软雅黑" w:hAnsi="微软雅黑" w:eastAsia="微软雅黑" w:cs="Calibri"/>
                <w:kern w:val="0"/>
                <w:sz w:val="18"/>
                <w:szCs w:val="20"/>
              </w:rPr>
            </w:pPr>
          </w:p>
          <w:p w14:paraId="7D3826B8">
            <w:pPr>
              <w:widowControl/>
              <w:spacing w:line="260" w:lineRule="atLeast"/>
              <w:jc w:val="left"/>
              <w:rPr>
                <w:rFonts w:ascii="微软雅黑" w:hAnsi="微软雅黑" w:eastAsia="微软雅黑" w:cs="Calibri"/>
                <w:kern w:val="0"/>
                <w:sz w:val="18"/>
                <w:szCs w:val="20"/>
              </w:rPr>
            </w:pPr>
          </w:p>
          <w:p w14:paraId="154FD5D2">
            <w:pPr>
              <w:widowControl/>
              <w:spacing w:line="260" w:lineRule="atLeast"/>
              <w:jc w:val="left"/>
              <w:rPr>
                <w:rFonts w:ascii="微软雅黑" w:hAnsi="微软雅黑" w:eastAsia="微软雅黑" w:cs="Calibri"/>
                <w:kern w:val="0"/>
                <w:sz w:val="18"/>
                <w:szCs w:val="20"/>
              </w:rPr>
            </w:pPr>
          </w:p>
          <w:p w14:paraId="6AE0C37F">
            <w:pPr>
              <w:widowControl/>
              <w:spacing w:line="260" w:lineRule="atLeast"/>
              <w:jc w:val="left"/>
              <w:rPr>
                <w:rFonts w:ascii="微软雅黑" w:hAnsi="微软雅黑" w:eastAsia="微软雅黑" w:cs="Calibri"/>
                <w:kern w:val="0"/>
                <w:sz w:val="18"/>
                <w:szCs w:val="20"/>
              </w:rPr>
            </w:pPr>
          </w:p>
          <w:p w14:paraId="090ADF38">
            <w:pPr>
              <w:widowControl/>
              <w:spacing w:line="260" w:lineRule="atLeast"/>
              <w:jc w:val="left"/>
              <w:rPr>
                <w:rFonts w:ascii="微软雅黑" w:hAnsi="微软雅黑" w:eastAsia="微软雅黑" w:cs="Calibri"/>
                <w:kern w:val="0"/>
                <w:sz w:val="18"/>
                <w:szCs w:val="20"/>
              </w:rPr>
            </w:pPr>
          </w:p>
          <w:p w14:paraId="29531542">
            <w:pPr>
              <w:widowControl/>
              <w:spacing w:line="260" w:lineRule="atLeast"/>
              <w:jc w:val="left"/>
              <w:rPr>
                <w:rFonts w:ascii="微软雅黑" w:hAnsi="微软雅黑" w:eastAsia="微软雅黑" w:cs="Calibri"/>
                <w:kern w:val="0"/>
                <w:sz w:val="18"/>
                <w:szCs w:val="20"/>
              </w:rPr>
            </w:pPr>
          </w:p>
          <w:p w14:paraId="0672E3EE">
            <w:pPr>
              <w:widowControl/>
              <w:spacing w:line="260" w:lineRule="atLeast"/>
              <w:jc w:val="left"/>
              <w:rPr>
                <w:rFonts w:ascii="微软雅黑" w:hAnsi="微软雅黑" w:eastAsia="微软雅黑" w:cs="Calibri"/>
                <w:kern w:val="0"/>
                <w:sz w:val="18"/>
                <w:szCs w:val="20"/>
              </w:rPr>
            </w:pPr>
          </w:p>
          <w:p w14:paraId="6735273A">
            <w:pPr>
              <w:widowControl/>
              <w:spacing w:line="260" w:lineRule="atLeast"/>
              <w:jc w:val="left"/>
              <w:rPr>
                <w:rFonts w:ascii="微软雅黑" w:hAnsi="微软雅黑" w:eastAsia="微软雅黑" w:cs="Calibri"/>
                <w:kern w:val="0"/>
                <w:sz w:val="18"/>
                <w:szCs w:val="20"/>
              </w:rPr>
            </w:pPr>
          </w:p>
          <w:p w14:paraId="5483F1D6">
            <w:pPr>
              <w:widowControl/>
              <w:spacing w:line="260" w:lineRule="atLeast"/>
              <w:jc w:val="left"/>
              <w:rPr>
                <w:rFonts w:ascii="微软雅黑" w:hAnsi="微软雅黑" w:eastAsia="微软雅黑" w:cs="Calibri"/>
                <w:kern w:val="0"/>
                <w:sz w:val="18"/>
                <w:szCs w:val="20"/>
              </w:rPr>
            </w:pPr>
          </w:p>
        </w:tc>
      </w:tr>
      <w:tr w14:paraId="6104F559">
        <w:tblPrEx>
          <w:tblCellMar>
            <w:top w:w="0" w:type="dxa"/>
            <w:left w:w="0" w:type="dxa"/>
            <w:bottom w:w="0" w:type="dxa"/>
            <w:right w:w="0" w:type="dxa"/>
          </w:tblCellMar>
        </w:tblPrEx>
        <w:trPr>
          <w:trHeight w:val="568" w:hRule="atLeast"/>
        </w:trPr>
        <w:tc>
          <w:tcPr>
            <w:tcW w:w="9262" w:type="dxa"/>
            <w:noWrap w:val="0"/>
            <w:vAlign w:val="top"/>
          </w:tcPr>
          <w:p w14:paraId="34A34880">
            <w:pPr>
              <w:widowControl/>
              <w:spacing w:line="360" w:lineRule="atLeast"/>
              <w:rPr>
                <w:rFonts w:ascii="微软雅黑" w:hAnsi="微软雅黑" w:eastAsia="微软雅黑" w:cs="Calibri"/>
                <w:kern w:val="0"/>
                <w:sz w:val="32"/>
                <w:szCs w:val="16"/>
              </w:rPr>
            </w:pPr>
          </w:p>
          <w:p w14:paraId="5A622275">
            <w:pPr>
              <w:widowControl/>
              <w:spacing w:line="360" w:lineRule="atLeast"/>
              <w:jc w:val="center"/>
              <w:rPr>
                <w:rFonts w:hint="eastAsia" w:ascii="微软雅黑" w:hAnsi="微软雅黑" w:eastAsia="微软雅黑" w:cs="Calibri"/>
                <w:b/>
                <w:kern w:val="0"/>
                <w:sz w:val="24"/>
                <w:szCs w:val="24"/>
              </w:rPr>
            </w:pPr>
            <w:r>
              <w:rPr>
                <w:rFonts w:hint="eastAsia" w:ascii="微软雅黑" w:hAnsi="微软雅黑" w:eastAsia="微软雅黑" w:cs="Calibri"/>
                <w:b/>
                <w:kern w:val="0"/>
                <w:sz w:val="24"/>
                <w:szCs w:val="24"/>
              </w:rPr>
              <w:t>广州市城壹房地产顾问有限公司</w:t>
            </w:r>
          </w:p>
          <w:p w14:paraId="0110DE73">
            <w:pPr>
              <w:widowControl/>
              <w:spacing w:line="360" w:lineRule="atLeast"/>
              <w:jc w:val="left"/>
              <w:rPr>
                <w:rFonts w:hint="default" w:ascii="微软雅黑" w:hAnsi="微软雅黑" w:eastAsia="微软雅黑" w:cs="Calibri"/>
                <w:b/>
                <w:kern w:val="0"/>
                <w:sz w:val="24"/>
                <w:szCs w:val="24"/>
                <w:u w:val="single"/>
                <w:lang w:val="en-US" w:eastAsia="zh-CN"/>
              </w:rPr>
            </w:pPr>
            <w:r>
              <w:rPr>
                <w:rFonts w:hint="eastAsia" w:ascii="微软雅黑" w:hAnsi="微软雅黑" w:eastAsia="微软雅黑" w:cs="Calibri"/>
                <w:b/>
                <w:kern w:val="0"/>
                <w:sz w:val="24"/>
                <w:szCs w:val="24"/>
                <w:lang w:val="en-US" w:eastAsia="zh-CN"/>
              </w:rPr>
              <w:t xml:space="preserve">                            </w:t>
            </w:r>
            <w:r>
              <w:rPr>
                <w:rFonts w:hint="eastAsia" w:ascii="微软雅黑" w:hAnsi="微软雅黑" w:eastAsia="微软雅黑" w:cs="Calibri"/>
                <w:b/>
                <w:kern w:val="0"/>
                <w:sz w:val="24"/>
                <w:szCs w:val="24"/>
                <w:u w:val="single"/>
                <w:lang w:val="en-US" w:eastAsia="zh-CN"/>
              </w:rPr>
              <w:t xml:space="preserve">                      </w:t>
            </w:r>
          </w:p>
          <w:p w14:paraId="2208E328">
            <w:pPr>
              <w:widowControl/>
              <w:spacing w:line="360" w:lineRule="atLeast"/>
              <w:jc w:val="both"/>
              <w:rPr>
                <w:rFonts w:ascii="微软雅黑" w:hAnsi="微软雅黑" w:eastAsia="微软雅黑" w:cs="Calibri"/>
                <w:b/>
                <w:kern w:val="0"/>
                <w:sz w:val="24"/>
                <w:szCs w:val="24"/>
              </w:rPr>
            </w:pPr>
          </w:p>
        </w:tc>
      </w:tr>
    </w:tbl>
    <w:p w14:paraId="3844A290">
      <w:pPr>
        <w:spacing w:line="360" w:lineRule="auto"/>
        <w:rPr>
          <w:rFonts w:ascii="微软雅黑" w:hAnsi="微软雅黑" w:eastAsia="微软雅黑"/>
          <w:b/>
          <w:bCs/>
          <w:szCs w:val="21"/>
        </w:rPr>
      </w:pPr>
      <w:r>
        <w:rPr>
          <w:rFonts w:hint="eastAsia" w:ascii="微软雅黑" w:hAnsi="微软雅黑" w:eastAsia="微软雅黑"/>
          <w:b/>
          <w:bCs/>
          <w:szCs w:val="21"/>
        </w:rPr>
        <w:t>甲方：广州市城壹房地产顾问有限公司</w:t>
      </w:r>
      <w:r>
        <w:rPr>
          <w:rFonts w:hint="eastAsia" w:ascii="微软雅黑" w:hAnsi="微软雅黑" w:eastAsia="微软雅黑"/>
          <w:b/>
          <w:bCs/>
          <w:szCs w:val="21"/>
        </w:rPr>
        <w:tab/>
      </w:r>
      <w:r>
        <w:rPr>
          <w:rFonts w:hint="eastAsia" w:ascii="微软雅黑" w:hAnsi="微软雅黑" w:eastAsia="微软雅黑"/>
          <w:b/>
          <w:bCs/>
          <w:szCs w:val="21"/>
        </w:rPr>
        <w:tab/>
      </w:r>
    </w:p>
    <w:p w14:paraId="17D4922A">
      <w:pPr>
        <w:spacing w:line="360" w:lineRule="auto"/>
        <w:rPr>
          <w:rFonts w:hint="eastAsia" w:ascii="微软雅黑" w:hAnsi="微软雅黑" w:eastAsia="微软雅黑"/>
          <w:b/>
          <w:bCs/>
          <w:szCs w:val="21"/>
        </w:rPr>
      </w:pPr>
      <w:r>
        <w:rPr>
          <w:rFonts w:hint="eastAsia" w:ascii="微软雅黑" w:hAnsi="微软雅黑" w:eastAsia="微软雅黑"/>
          <w:b/>
          <w:bCs/>
          <w:szCs w:val="21"/>
        </w:rPr>
        <w:t>地址：广州市越秀区人民北路686号广东广播中心大楼2</w:t>
      </w:r>
      <w:r>
        <w:rPr>
          <w:rFonts w:ascii="微软雅黑" w:hAnsi="微软雅黑" w:eastAsia="微软雅黑"/>
          <w:b/>
          <w:bCs/>
          <w:szCs w:val="21"/>
        </w:rPr>
        <w:t>2</w:t>
      </w:r>
      <w:r>
        <w:rPr>
          <w:rFonts w:hint="eastAsia" w:ascii="微软雅黑" w:hAnsi="微软雅黑" w:eastAsia="微软雅黑"/>
          <w:b/>
          <w:bCs/>
          <w:szCs w:val="21"/>
        </w:rPr>
        <w:t>楼</w:t>
      </w:r>
    </w:p>
    <w:p w14:paraId="36025453">
      <w:pPr>
        <w:spacing w:line="360" w:lineRule="auto"/>
        <w:rPr>
          <w:rFonts w:ascii="微软雅黑" w:hAnsi="微软雅黑" w:eastAsia="微软雅黑"/>
          <w:b/>
          <w:bCs/>
          <w:szCs w:val="21"/>
        </w:rPr>
      </w:pPr>
      <w:r>
        <w:rPr>
          <w:rFonts w:hint="eastAsia" w:ascii="微软雅黑" w:hAnsi="微软雅黑" w:eastAsia="微软雅黑"/>
          <w:b/>
          <w:bCs/>
          <w:szCs w:val="21"/>
        </w:rPr>
        <w:t>法定代表人：林海</w:t>
      </w:r>
    </w:p>
    <w:p w14:paraId="237F1F98">
      <w:pPr>
        <w:spacing w:line="360" w:lineRule="auto"/>
        <w:rPr>
          <w:rFonts w:ascii="微软雅黑" w:hAnsi="微软雅黑" w:eastAsia="微软雅黑"/>
          <w:b/>
          <w:bCs/>
          <w:szCs w:val="21"/>
        </w:rPr>
      </w:pPr>
      <w:r>
        <w:rPr>
          <w:rFonts w:hint="eastAsia" w:ascii="微软雅黑" w:hAnsi="微软雅黑" w:eastAsia="微软雅黑"/>
          <w:b/>
          <w:bCs/>
          <w:szCs w:val="21"/>
        </w:rPr>
        <w:t>电话：</w:t>
      </w:r>
      <w:r>
        <w:rPr>
          <w:rFonts w:ascii="微软雅黑" w:hAnsi="微软雅黑" w:eastAsia="微软雅黑"/>
          <w:b/>
          <w:bCs/>
          <w:szCs w:val="21"/>
        </w:rPr>
        <w:t>020-26080188</w:t>
      </w:r>
    </w:p>
    <w:p w14:paraId="23651535">
      <w:pPr>
        <w:spacing w:line="360" w:lineRule="auto"/>
        <w:rPr>
          <w:rFonts w:ascii="微软雅黑" w:hAnsi="微软雅黑" w:eastAsia="微软雅黑"/>
          <w:b/>
          <w:bCs/>
          <w:szCs w:val="21"/>
        </w:rPr>
      </w:pPr>
    </w:p>
    <w:p w14:paraId="7E0F8225">
      <w:pPr>
        <w:spacing w:line="360" w:lineRule="auto"/>
        <w:rPr>
          <w:rFonts w:ascii="微软雅黑" w:hAnsi="微软雅黑" w:eastAsia="微软雅黑"/>
          <w:b/>
          <w:bCs/>
          <w:szCs w:val="21"/>
        </w:rPr>
      </w:pPr>
      <w:r>
        <w:rPr>
          <w:rFonts w:hint="eastAsia" w:ascii="微软雅黑" w:hAnsi="微软雅黑" w:eastAsia="微软雅黑"/>
          <w:b/>
          <w:bCs/>
          <w:szCs w:val="21"/>
        </w:rPr>
        <w:t>乙方：</w:t>
      </w:r>
    </w:p>
    <w:p w14:paraId="2054042A">
      <w:pPr>
        <w:spacing w:line="360" w:lineRule="auto"/>
        <w:rPr>
          <w:rFonts w:ascii="微软雅黑" w:hAnsi="微软雅黑" w:eastAsia="微软雅黑"/>
          <w:b/>
          <w:bCs/>
          <w:szCs w:val="21"/>
        </w:rPr>
      </w:pPr>
      <w:r>
        <w:rPr>
          <w:rFonts w:hint="eastAsia" w:ascii="微软雅黑" w:hAnsi="微软雅黑" w:eastAsia="微软雅黑"/>
          <w:b/>
          <w:bCs/>
          <w:szCs w:val="21"/>
        </w:rPr>
        <w:t>地址：</w:t>
      </w:r>
    </w:p>
    <w:p w14:paraId="747EC70C">
      <w:pPr>
        <w:spacing w:line="360" w:lineRule="auto"/>
        <w:rPr>
          <w:rFonts w:hint="eastAsia" w:ascii="微软雅黑" w:hAnsi="微软雅黑" w:eastAsia="微软雅黑"/>
          <w:b/>
          <w:bCs/>
          <w:szCs w:val="21"/>
          <w:lang w:eastAsia="zh-CN"/>
        </w:rPr>
      </w:pPr>
      <w:r>
        <w:rPr>
          <w:rFonts w:hint="eastAsia" w:ascii="微软雅黑" w:hAnsi="微软雅黑" w:eastAsia="微软雅黑"/>
          <w:b/>
          <w:bCs/>
          <w:szCs w:val="21"/>
        </w:rPr>
        <w:t>法定代表人</w:t>
      </w:r>
      <w:r>
        <w:rPr>
          <w:rFonts w:hint="eastAsia" w:ascii="微软雅黑" w:hAnsi="微软雅黑" w:eastAsia="微软雅黑"/>
          <w:b/>
          <w:bCs/>
          <w:szCs w:val="21"/>
          <w:lang w:eastAsia="zh-CN"/>
        </w:rPr>
        <w:t>：</w:t>
      </w:r>
    </w:p>
    <w:p w14:paraId="4C89A155">
      <w:pPr>
        <w:spacing w:line="360" w:lineRule="auto"/>
        <w:rPr>
          <w:rFonts w:ascii="微软雅黑" w:hAnsi="微软雅黑" w:eastAsia="微软雅黑"/>
          <w:b/>
          <w:bCs/>
          <w:szCs w:val="21"/>
        </w:rPr>
      </w:pPr>
      <w:r>
        <w:rPr>
          <w:rFonts w:hint="eastAsia" w:ascii="微软雅黑" w:hAnsi="微软雅黑" w:eastAsia="微软雅黑"/>
          <w:b/>
          <w:bCs/>
          <w:szCs w:val="21"/>
        </w:rPr>
        <w:t>电话：</w:t>
      </w:r>
    </w:p>
    <w:p w14:paraId="7265F922">
      <w:pPr>
        <w:spacing w:line="360" w:lineRule="auto"/>
        <w:rPr>
          <w:rFonts w:ascii="微软雅黑" w:hAnsi="微软雅黑" w:eastAsia="微软雅黑"/>
          <w:b/>
          <w:bCs/>
          <w:szCs w:val="21"/>
        </w:rPr>
      </w:pPr>
    </w:p>
    <w:p w14:paraId="2D22A46C">
      <w:pPr>
        <w:spacing w:line="360" w:lineRule="auto"/>
        <w:rPr>
          <w:rFonts w:ascii="微软雅黑" w:hAnsi="微软雅黑" w:eastAsia="微软雅黑"/>
          <w:b/>
          <w:bCs/>
          <w:szCs w:val="21"/>
        </w:rPr>
      </w:pPr>
      <w:r>
        <w:rPr>
          <w:rFonts w:hint="eastAsia" w:ascii="微软雅黑" w:hAnsi="微软雅黑" w:eastAsia="微软雅黑"/>
          <w:b/>
          <w:bCs/>
          <w:szCs w:val="21"/>
        </w:rPr>
        <w:t xml:space="preserve">甲、乙双方本着互惠互利、公平合理的原则，经友好协商，现就甲方花果山超高清视频产业特色小镇项目定位策划报告合作项目（以下简称“本项目”）与乙方签订如下条款： </w:t>
      </w:r>
    </w:p>
    <w:p w14:paraId="30CBE44D">
      <w:pPr>
        <w:snapToGrid w:val="0"/>
        <w:spacing w:line="360" w:lineRule="auto"/>
        <w:rPr>
          <w:rFonts w:ascii="微软雅黑" w:hAnsi="微软雅黑" w:eastAsia="微软雅黑"/>
          <w:b/>
          <w:bCs/>
          <w:szCs w:val="21"/>
        </w:rPr>
      </w:pPr>
    </w:p>
    <w:p w14:paraId="4E67FE85">
      <w:pPr>
        <w:snapToGrid w:val="0"/>
        <w:spacing w:line="360" w:lineRule="auto"/>
        <w:rPr>
          <w:rFonts w:ascii="微软雅黑" w:hAnsi="微软雅黑" w:eastAsia="微软雅黑"/>
          <w:szCs w:val="21"/>
        </w:rPr>
      </w:pPr>
      <w:r>
        <w:rPr>
          <w:rFonts w:hint="eastAsia" w:ascii="微软雅黑" w:hAnsi="微软雅黑" w:eastAsia="微软雅黑"/>
          <w:b/>
          <w:szCs w:val="21"/>
        </w:rPr>
        <w:t>第一条、合作项目名称及地址</w:t>
      </w:r>
    </w:p>
    <w:p w14:paraId="439DF37D">
      <w:pPr>
        <w:numPr>
          <w:ilvl w:val="0"/>
          <w:numId w:val="5"/>
        </w:numPr>
        <w:snapToGrid w:val="0"/>
        <w:spacing w:line="360" w:lineRule="auto"/>
        <w:rPr>
          <w:rFonts w:ascii="微软雅黑" w:hAnsi="微软雅黑" w:eastAsia="微软雅黑"/>
          <w:szCs w:val="21"/>
        </w:rPr>
      </w:pPr>
      <w:r>
        <w:rPr>
          <w:rFonts w:hint="eastAsia" w:ascii="微软雅黑" w:hAnsi="微软雅黑" w:eastAsia="微软雅黑"/>
          <w:szCs w:val="21"/>
        </w:rPr>
        <w:t>项目名称：花果山超高清视频产业特色小镇项目定位策划报告合作项目（简称“本项目”）</w:t>
      </w:r>
    </w:p>
    <w:p w14:paraId="7701B437">
      <w:pPr>
        <w:numPr>
          <w:ilvl w:val="0"/>
          <w:numId w:val="5"/>
        </w:numPr>
        <w:snapToGrid w:val="0"/>
        <w:spacing w:line="360" w:lineRule="auto"/>
        <w:jc w:val="left"/>
        <w:rPr>
          <w:rFonts w:ascii="微软雅黑" w:hAnsi="微软雅黑" w:eastAsia="微软雅黑"/>
          <w:szCs w:val="21"/>
        </w:rPr>
      </w:pPr>
      <w:r>
        <w:rPr>
          <w:rFonts w:hint="eastAsia" w:ascii="微软雅黑" w:hAnsi="微软雅黑" w:eastAsia="微软雅黑"/>
          <w:szCs w:val="21"/>
        </w:rPr>
        <w:t>项目地址：</w:t>
      </w:r>
      <w:r>
        <w:rPr>
          <w:rFonts w:hint="eastAsia" w:ascii="微软雅黑" w:hAnsi="微软雅黑" w:eastAsia="微软雅黑"/>
          <w:szCs w:val="21"/>
          <w:lang w:val="en-US" w:eastAsia="zh-CN"/>
        </w:rPr>
        <w:t>环市中路231、233号</w:t>
      </w:r>
    </w:p>
    <w:p w14:paraId="4462C3F0">
      <w:pPr>
        <w:snapToGrid w:val="0"/>
        <w:spacing w:line="360" w:lineRule="auto"/>
        <w:jc w:val="left"/>
        <w:rPr>
          <w:rFonts w:ascii="微软雅黑" w:hAnsi="微软雅黑" w:eastAsia="微软雅黑"/>
          <w:szCs w:val="21"/>
        </w:rPr>
      </w:pPr>
    </w:p>
    <w:p w14:paraId="33F0A3FA">
      <w:pPr>
        <w:snapToGrid w:val="0"/>
        <w:spacing w:line="360" w:lineRule="auto"/>
        <w:rPr>
          <w:rFonts w:ascii="微软雅黑" w:hAnsi="微软雅黑" w:eastAsia="微软雅黑"/>
          <w:szCs w:val="21"/>
        </w:rPr>
      </w:pPr>
      <w:r>
        <w:rPr>
          <w:rFonts w:hint="eastAsia" w:ascii="微软雅黑" w:hAnsi="微软雅黑" w:eastAsia="微软雅黑"/>
          <w:b/>
          <w:bCs/>
          <w:szCs w:val="21"/>
        </w:rPr>
        <w:t>第二条、</w:t>
      </w:r>
      <w:r>
        <w:rPr>
          <w:rFonts w:hint="eastAsia" w:ascii="微软雅黑" w:hAnsi="微软雅黑" w:eastAsia="微软雅黑"/>
          <w:b/>
          <w:szCs w:val="21"/>
        </w:rPr>
        <w:t>合作内容及双方负责事项</w:t>
      </w:r>
    </w:p>
    <w:p w14:paraId="07672484">
      <w:pPr>
        <w:snapToGrid w:val="0"/>
        <w:spacing w:line="360" w:lineRule="auto"/>
        <w:ind w:left="567" w:hanging="567" w:hangingChars="270"/>
        <w:rPr>
          <w:rFonts w:ascii="微软雅黑" w:hAnsi="微软雅黑" w:eastAsia="微软雅黑"/>
          <w:bCs/>
          <w:szCs w:val="21"/>
        </w:rPr>
      </w:pPr>
      <w:r>
        <w:rPr>
          <w:rFonts w:hint="eastAsia" w:ascii="微软雅黑" w:hAnsi="微软雅黑" w:eastAsia="微软雅黑"/>
          <w:bCs/>
          <w:szCs w:val="21"/>
        </w:rPr>
        <w:t>2.1  本次合作内容针对花果山超高清视频产业特色小镇项目定位策划报告合作项目，</w:t>
      </w:r>
      <w:r>
        <w:rPr>
          <w:rFonts w:hint="eastAsia" w:ascii="微软雅黑" w:hAnsi="微软雅黑" w:eastAsia="微软雅黑"/>
          <w:bCs/>
          <w:szCs w:val="21"/>
          <w:lang w:val="en-US" w:eastAsia="zh-CN"/>
        </w:rPr>
        <w:t>甲乙双方共同完成包括但不限于</w:t>
      </w:r>
      <w:r>
        <w:rPr>
          <w:rFonts w:hint="eastAsia" w:ascii="微软雅黑" w:hAnsi="微软雅黑" w:eastAsia="微软雅黑"/>
          <w:bCs/>
          <w:szCs w:val="21"/>
        </w:rPr>
        <w:t>项目背景、项目基本情况分析、片区规划及发展、产业研究、周边市场分析、相关案例分析、项目定位及业态规划、产业载体建议、政策申请建议、项目运营思路等一系列策划服务；</w:t>
      </w:r>
    </w:p>
    <w:p w14:paraId="70A269A5">
      <w:pPr>
        <w:snapToGrid w:val="0"/>
        <w:spacing w:line="360" w:lineRule="auto"/>
        <w:ind w:left="567" w:hanging="567" w:hangingChars="270"/>
        <w:rPr>
          <w:rFonts w:ascii="微软雅黑" w:hAnsi="微软雅黑" w:eastAsia="微软雅黑"/>
          <w:szCs w:val="21"/>
        </w:rPr>
      </w:pPr>
      <w:r>
        <w:rPr>
          <w:rFonts w:hint="eastAsia" w:ascii="微软雅黑" w:hAnsi="微软雅黑" w:eastAsia="微软雅黑"/>
          <w:szCs w:val="21"/>
        </w:rPr>
        <w:t>2</w:t>
      </w:r>
      <w:r>
        <w:rPr>
          <w:rFonts w:hint="eastAsia" w:ascii="微软雅黑" w:hAnsi="微软雅黑" w:eastAsia="微软雅黑"/>
          <w:szCs w:val="21"/>
          <w:lang w:val="en-US" w:eastAsia="zh-CN"/>
        </w:rPr>
        <w:t>.2</w:t>
      </w:r>
      <w:r>
        <w:rPr>
          <w:rFonts w:hint="eastAsia" w:ascii="微软雅黑" w:hAnsi="微软雅黑" w:eastAsia="微软雅黑"/>
          <w:szCs w:val="21"/>
        </w:rPr>
        <w:t xml:space="preserve"> 双方共同负责就本项目撰写报告，双方应配合对该项目报告的修改、汇报工作；</w:t>
      </w:r>
    </w:p>
    <w:p w14:paraId="31183E3E">
      <w:pPr>
        <w:snapToGrid w:val="0"/>
        <w:spacing w:line="360" w:lineRule="auto"/>
        <w:ind w:left="567" w:hanging="567" w:hangingChars="270"/>
        <w:rPr>
          <w:rFonts w:ascii="微软雅黑" w:hAnsi="微软雅黑" w:eastAsia="微软雅黑"/>
          <w:szCs w:val="21"/>
        </w:rPr>
      </w:pPr>
      <w:r>
        <w:rPr>
          <w:rFonts w:hint="eastAsia" w:ascii="微软雅黑" w:hAnsi="微软雅黑" w:eastAsia="微软雅黑"/>
          <w:szCs w:val="21"/>
        </w:rPr>
        <w:t>2.</w:t>
      </w:r>
      <w:r>
        <w:rPr>
          <w:rFonts w:hint="eastAsia" w:ascii="微软雅黑" w:hAnsi="微软雅黑" w:eastAsia="微软雅黑"/>
          <w:szCs w:val="21"/>
          <w:lang w:val="en-US" w:eastAsia="zh-CN"/>
        </w:rPr>
        <w:t>3</w:t>
      </w:r>
      <w:r>
        <w:rPr>
          <w:rFonts w:hint="eastAsia" w:ascii="微软雅黑" w:hAnsi="微软雅黑" w:eastAsia="微软雅黑"/>
          <w:szCs w:val="21"/>
        </w:rPr>
        <w:t xml:space="preserve">  甲乙双方共同合作完成报告的定稿与提交，甲方负责与业主方进行沟通、协调，并向乙方及时、准确传达业主方的要求。</w:t>
      </w:r>
    </w:p>
    <w:p w14:paraId="1FEE5AB0">
      <w:pPr>
        <w:snapToGrid w:val="0"/>
        <w:spacing w:line="360" w:lineRule="auto"/>
        <w:ind w:left="1890" w:hanging="1891" w:hangingChars="900"/>
        <w:rPr>
          <w:rFonts w:ascii="微软雅黑" w:hAnsi="微软雅黑" w:eastAsia="微软雅黑"/>
          <w:b/>
          <w:bCs/>
          <w:szCs w:val="21"/>
        </w:rPr>
      </w:pPr>
      <w:r>
        <w:rPr>
          <w:rFonts w:hint="eastAsia" w:ascii="微软雅黑" w:hAnsi="微软雅黑" w:eastAsia="微软雅黑"/>
          <w:b/>
          <w:bCs/>
          <w:szCs w:val="21"/>
        </w:rPr>
        <w:t>第三条、双方的权利和义务</w:t>
      </w:r>
    </w:p>
    <w:p w14:paraId="2C199942">
      <w:pPr>
        <w:snapToGrid w:val="0"/>
        <w:spacing w:line="360" w:lineRule="auto"/>
        <w:ind w:left="1890" w:hanging="1891" w:hangingChars="900"/>
        <w:rPr>
          <w:rFonts w:ascii="微软雅黑" w:hAnsi="微软雅黑" w:eastAsia="微软雅黑"/>
          <w:szCs w:val="21"/>
        </w:rPr>
      </w:pPr>
      <w:r>
        <w:rPr>
          <w:rFonts w:hint="eastAsia" w:ascii="微软雅黑" w:hAnsi="微软雅黑" w:eastAsia="微软雅黑"/>
          <w:b/>
          <w:szCs w:val="21"/>
        </w:rPr>
        <w:t>（一）甲方权利义务</w:t>
      </w:r>
      <w:r>
        <w:rPr>
          <w:rFonts w:hint="eastAsia" w:ascii="微软雅黑" w:hAnsi="微软雅黑" w:eastAsia="微软雅黑"/>
          <w:szCs w:val="21"/>
        </w:rPr>
        <w:t>：</w:t>
      </w:r>
    </w:p>
    <w:p w14:paraId="38C7A82D">
      <w:pPr>
        <w:snapToGrid w:val="0"/>
        <w:spacing w:line="360" w:lineRule="auto"/>
        <w:ind w:left="567" w:hanging="567" w:hangingChars="270"/>
        <w:rPr>
          <w:rFonts w:ascii="微软雅黑" w:hAnsi="微软雅黑" w:eastAsia="微软雅黑"/>
          <w:szCs w:val="21"/>
        </w:rPr>
      </w:pPr>
      <w:r>
        <w:rPr>
          <w:rFonts w:hint="eastAsia" w:ascii="微软雅黑" w:hAnsi="微软雅黑" w:eastAsia="微软雅黑"/>
          <w:szCs w:val="21"/>
        </w:rPr>
        <w:t>3</w:t>
      </w:r>
      <w:r>
        <w:rPr>
          <w:rFonts w:ascii="微软雅黑" w:hAnsi="微软雅黑" w:eastAsia="微软雅黑"/>
          <w:szCs w:val="21"/>
        </w:rPr>
        <w:t xml:space="preserve">.1  </w:t>
      </w:r>
      <w:r>
        <w:rPr>
          <w:rFonts w:hint="eastAsia" w:ascii="微软雅黑" w:hAnsi="微软雅黑" w:eastAsia="微软雅黑"/>
          <w:szCs w:val="21"/>
        </w:rPr>
        <w:t>甲方有权要求乙方按照本合同约定完成合作内容；</w:t>
      </w:r>
    </w:p>
    <w:p w14:paraId="30562F1B">
      <w:pPr>
        <w:snapToGrid w:val="0"/>
        <w:spacing w:line="360" w:lineRule="auto"/>
        <w:ind w:left="567" w:hanging="567" w:hangingChars="270"/>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2</w:t>
      </w:r>
      <w:r>
        <w:rPr>
          <w:rFonts w:ascii="微软雅黑" w:hAnsi="微软雅黑" w:eastAsia="微软雅黑"/>
          <w:szCs w:val="21"/>
        </w:rPr>
        <w:t xml:space="preserve">  </w:t>
      </w:r>
      <w:r>
        <w:rPr>
          <w:rFonts w:hint="eastAsia" w:ascii="微软雅黑" w:hAnsi="微软雅黑" w:eastAsia="微软雅黑"/>
          <w:szCs w:val="21"/>
        </w:rPr>
        <w:t>甲方应如实和及时向乙方提供项目相关信息，以便乙方开展工作。如果因甲方不能及时提供项目相关信息而影响进度，乙方有权将项目总期限按拖延的时间顺延，且不承担延期责任；</w:t>
      </w:r>
    </w:p>
    <w:p w14:paraId="3CBBE887">
      <w:pPr>
        <w:snapToGrid w:val="0"/>
        <w:spacing w:line="360" w:lineRule="auto"/>
        <w:ind w:left="567" w:hanging="567" w:hangingChars="270"/>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3</w:t>
      </w:r>
      <w:r>
        <w:rPr>
          <w:rFonts w:ascii="微软雅黑" w:hAnsi="微软雅黑" w:eastAsia="微软雅黑"/>
          <w:szCs w:val="21"/>
        </w:rPr>
        <w:t xml:space="preserve">  </w:t>
      </w:r>
      <w:r>
        <w:rPr>
          <w:rFonts w:hint="eastAsia" w:ascii="微软雅黑" w:hAnsi="微软雅黑" w:eastAsia="微软雅黑"/>
          <w:szCs w:val="21"/>
        </w:rPr>
        <w:t>甲方应保证其所提供的项目相关信息准确、有效。由于甲方提供的相关资料及文件存在错误的，相应后果由甲方承担，甲方仍应按照本合同约定按时足额向乙方支付服务费用；</w:t>
      </w:r>
    </w:p>
    <w:p w14:paraId="6AB73227">
      <w:pPr>
        <w:snapToGrid w:val="0"/>
        <w:spacing w:line="360" w:lineRule="auto"/>
        <w:ind w:left="567" w:hanging="567" w:hangingChars="270"/>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4</w:t>
      </w:r>
      <w:r>
        <w:rPr>
          <w:rFonts w:ascii="微软雅黑" w:hAnsi="微软雅黑" w:eastAsia="微软雅黑"/>
          <w:szCs w:val="21"/>
        </w:rPr>
        <w:t xml:space="preserve">  </w:t>
      </w:r>
      <w:r>
        <w:rPr>
          <w:rFonts w:hint="eastAsia" w:ascii="微软雅黑" w:hAnsi="微软雅黑" w:eastAsia="微软雅黑"/>
          <w:szCs w:val="21"/>
        </w:rPr>
        <w:t>甲方有权向乙方了解本合同项目的工作进展情况和相关内容或提出相关建议，如甲方提出修改超出合同约定的项目服务范围或明显增加乙方服务工作量的，乙方有权另行收取修改费用，修改费用，甲、乙双方另行协商并签署补充协议；</w:t>
      </w:r>
    </w:p>
    <w:p w14:paraId="10F57BA7">
      <w:pPr>
        <w:snapToGrid w:val="0"/>
        <w:spacing w:line="360" w:lineRule="auto"/>
        <w:ind w:left="567" w:hanging="567" w:hangingChars="270"/>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5</w:t>
      </w:r>
      <w:r>
        <w:rPr>
          <w:rFonts w:ascii="微软雅黑" w:hAnsi="微软雅黑" w:eastAsia="微软雅黑"/>
          <w:szCs w:val="21"/>
        </w:rPr>
        <w:t xml:space="preserve">  </w:t>
      </w:r>
      <w:r>
        <w:rPr>
          <w:rFonts w:hint="eastAsia" w:ascii="微软雅黑" w:hAnsi="微软雅黑" w:eastAsia="微软雅黑"/>
          <w:szCs w:val="21"/>
        </w:rPr>
        <w:t>甲方有义务协助并积极配合乙方进行相关工作，在收到乙方提出的意见时，在规定的合理时间内提出反馈及要求；</w:t>
      </w:r>
    </w:p>
    <w:p w14:paraId="6FE53818">
      <w:pPr>
        <w:snapToGrid w:val="0"/>
        <w:spacing w:line="360" w:lineRule="auto"/>
        <w:ind w:left="567" w:hanging="567" w:hangingChars="270"/>
        <w:rPr>
          <w:rFonts w:ascii="微软雅黑" w:hAnsi="微软雅黑" w:eastAsia="微软雅黑"/>
          <w:szCs w:val="21"/>
        </w:rPr>
      </w:pPr>
      <w:r>
        <w:rPr>
          <w:rFonts w:ascii="微软雅黑" w:hAnsi="微软雅黑" w:eastAsia="微软雅黑"/>
          <w:szCs w:val="21"/>
        </w:rPr>
        <w:t xml:space="preserve">3.6  </w:t>
      </w:r>
      <w:r>
        <w:rPr>
          <w:rFonts w:hint="eastAsia" w:ascii="微软雅黑" w:hAnsi="微软雅黑" w:eastAsia="微软雅黑"/>
          <w:szCs w:val="21"/>
        </w:rPr>
        <w:t>甲方应按合同约定时间和款项支付相关费用；</w:t>
      </w:r>
    </w:p>
    <w:p w14:paraId="5B16D613">
      <w:pPr>
        <w:snapToGrid w:val="0"/>
        <w:spacing w:line="360" w:lineRule="auto"/>
        <w:ind w:left="567" w:hanging="567" w:hangingChars="270"/>
        <w:rPr>
          <w:rFonts w:ascii="微软雅黑" w:hAnsi="微软雅黑" w:eastAsia="微软雅黑" w:cs="Arial"/>
          <w:spacing w:val="-2"/>
          <w:szCs w:val="20"/>
        </w:rPr>
      </w:pPr>
      <w:r>
        <w:rPr>
          <w:rFonts w:ascii="微软雅黑" w:hAnsi="微软雅黑" w:eastAsia="微软雅黑"/>
          <w:szCs w:val="21"/>
        </w:rPr>
        <w:t xml:space="preserve">3.7  </w:t>
      </w:r>
      <w:r>
        <w:rPr>
          <w:rFonts w:hint="eastAsia" w:ascii="微软雅黑" w:hAnsi="微软雅黑" w:eastAsia="微软雅黑"/>
          <w:szCs w:val="21"/>
        </w:rPr>
        <w:t>本合同约定的其他权利和义务。</w:t>
      </w:r>
    </w:p>
    <w:p w14:paraId="5C4D5C17">
      <w:pPr>
        <w:snapToGrid w:val="0"/>
        <w:spacing w:line="360" w:lineRule="auto"/>
        <w:ind w:left="1890" w:hanging="1891" w:hangingChars="900"/>
        <w:rPr>
          <w:rFonts w:ascii="微软雅黑" w:hAnsi="微软雅黑" w:eastAsia="微软雅黑"/>
          <w:b/>
          <w:szCs w:val="21"/>
        </w:rPr>
      </w:pPr>
      <w:r>
        <w:rPr>
          <w:rFonts w:hint="eastAsia" w:ascii="微软雅黑" w:hAnsi="微软雅黑" w:eastAsia="微软雅黑"/>
          <w:b/>
          <w:szCs w:val="21"/>
        </w:rPr>
        <w:t>（二）乙方权利义务:</w:t>
      </w:r>
    </w:p>
    <w:p w14:paraId="1F022998">
      <w:pPr>
        <w:snapToGrid w:val="0"/>
        <w:spacing w:line="360" w:lineRule="auto"/>
        <w:ind w:left="567" w:hanging="567" w:hangingChars="270"/>
        <w:rPr>
          <w:rFonts w:ascii="微软雅黑" w:hAnsi="微软雅黑" w:eastAsia="微软雅黑"/>
          <w:szCs w:val="21"/>
        </w:rPr>
      </w:pPr>
      <w:r>
        <w:rPr>
          <w:rFonts w:ascii="微软雅黑" w:hAnsi="微软雅黑" w:eastAsia="微软雅黑"/>
          <w:szCs w:val="21"/>
        </w:rPr>
        <w:t xml:space="preserve">3.8  </w:t>
      </w:r>
      <w:r>
        <w:rPr>
          <w:rFonts w:hint="eastAsia" w:ascii="微软雅黑" w:hAnsi="微软雅黑" w:eastAsia="微软雅黑"/>
          <w:szCs w:val="21"/>
        </w:rPr>
        <w:t>按本合同约定期限和要求完成项目报告；报告及建议方案名称仅为参考，以经甲方认可的具体报告及建议方案内容为准；</w:t>
      </w:r>
    </w:p>
    <w:p w14:paraId="1569506F">
      <w:pPr>
        <w:snapToGrid w:val="0"/>
        <w:spacing w:line="360" w:lineRule="auto"/>
        <w:ind w:left="567" w:hanging="567" w:hangingChars="270"/>
        <w:rPr>
          <w:rFonts w:ascii="微软雅黑" w:hAnsi="微软雅黑" w:eastAsia="微软雅黑"/>
          <w:szCs w:val="21"/>
        </w:rPr>
      </w:pPr>
      <w:r>
        <w:rPr>
          <w:rFonts w:ascii="微软雅黑" w:hAnsi="微软雅黑" w:eastAsia="微软雅黑"/>
          <w:szCs w:val="21"/>
        </w:rPr>
        <w:t xml:space="preserve">3.9  </w:t>
      </w:r>
      <w:r>
        <w:rPr>
          <w:rFonts w:hint="eastAsia" w:ascii="微软雅黑" w:hAnsi="微软雅黑" w:eastAsia="微软雅黑"/>
          <w:szCs w:val="21"/>
        </w:rPr>
        <w:t>按本合同约定取得合作报酬，甲方未按期足额向乙方支付服务费用的，乙方有权暂停本合同项下服务而不承担任何违约责任，且乙方有权按本合同约定要求甲方承担逾期付款的违约责任。；</w:t>
      </w:r>
    </w:p>
    <w:p w14:paraId="5B11060A">
      <w:pPr>
        <w:snapToGrid w:val="0"/>
        <w:spacing w:line="360" w:lineRule="auto"/>
        <w:ind w:left="567" w:hanging="567" w:hangingChars="270"/>
        <w:rPr>
          <w:rFonts w:ascii="微软雅黑" w:hAnsi="微软雅黑" w:eastAsia="微软雅黑"/>
          <w:szCs w:val="21"/>
        </w:rPr>
      </w:pPr>
      <w:r>
        <w:rPr>
          <w:rFonts w:ascii="微软雅黑" w:hAnsi="微软雅黑" w:eastAsia="微软雅黑"/>
          <w:szCs w:val="21"/>
        </w:rPr>
        <w:t>3.10</w:t>
      </w:r>
      <w:r>
        <w:rPr>
          <w:rFonts w:hint="eastAsia" w:ascii="微软雅黑" w:hAnsi="微软雅黑" w:eastAsia="微软雅黑"/>
          <w:szCs w:val="21"/>
        </w:rPr>
        <w:t xml:space="preserve">  乙方应严格按本合同约定执行具体工作，不同阶段的具体工作将根据具体情况就项目工作成果内容及进度与甲方商讨交流；</w:t>
      </w:r>
      <w:r>
        <w:rPr>
          <w:rFonts w:hint="eastAsia" w:ascii="微软雅黑" w:hAnsi="微软雅黑" w:eastAsia="微软雅黑"/>
          <w:szCs w:val="21"/>
        </w:rPr>
        <w:tab/>
      </w:r>
    </w:p>
    <w:p w14:paraId="4CC448B7">
      <w:pPr>
        <w:snapToGrid w:val="0"/>
        <w:spacing w:line="360" w:lineRule="auto"/>
        <w:ind w:left="567" w:hanging="567" w:hangingChars="270"/>
        <w:rPr>
          <w:rFonts w:ascii="微软雅黑" w:hAnsi="微软雅黑" w:eastAsia="微软雅黑"/>
          <w:szCs w:val="21"/>
        </w:rPr>
      </w:pPr>
      <w:r>
        <w:rPr>
          <w:rFonts w:ascii="微软雅黑" w:hAnsi="微软雅黑" w:eastAsia="微软雅黑"/>
          <w:szCs w:val="21"/>
        </w:rPr>
        <w:t xml:space="preserve">3.11 </w:t>
      </w:r>
      <w:r>
        <w:rPr>
          <w:rFonts w:hint="eastAsia" w:ascii="微软雅黑" w:hAnsi="微软雅黑" w:eastAsia="微软雅黑"/>
          <w:szCs w:val="21"/>
        </w:rPr>
        <w:t xml:space="preserve"> 乙方应遵守本合同约定开展工作，乙方受托权限仅限于完成研究目的所必须</w:t>
      </w:r>
    </w:p>
    <w:p w14:paraId="3AC79327">
      <w:pPr>
        <w:snapToGrid w:val="0"/>
        <w:spacing w:line="360" w:lineRule="auto"/>
        <w:ind w:left="1092" w:leftChars="250" w:hanging="567" w:hangingChars="270"/>
        <w:rPr>
          <w:rFonts w:ascii="微软雅黑" w:hAnsi="微软雅黑" w:eastAsia="微软雅黑"/>
          <w:szCs w:val="21"/>
        </w:rPr>
      </w:pPr>
      <w:r>
        <w:rPr>
          <w:rFonts w:hint="eastAsia" w:ascii="微软雅黑" w:hAnsi="微软雅黑" w:eastAsia="微软雅黑"/>
          <w:szCs w:val="21"/>
        </w:rPr>
        <w:t>的相关活动，不得以甲方名义从事其它任何民事经济行为；</w:t>
      </w:r>
    </w:p>
    <w:p w14:paraId="4B530640">
      <w:pPr>
        <w:snapToGrid w:val="0"/>
        <w:spacing w:line="360" w:lineRule="auto"/>
        <w:ind w:left="567" w:hanging="567" w:hangingChars="270"/>
        <w:rPr>
          <w:rFonts w:ascii="微软雅黑" w:hAnsi="微软雅黑" w:eastAsia="微软雅黑"/>
          <w:szCs w:val="21"/>
        </w:rPr>
      </w:pPr>
      <w:r>
        <w:rPr>
          <w:rFonts w:ascii="微软雅黑" w:hAnsi="微软雅黑" w:eastAsia="微软雅黑"/>
          <w:szCs w:val="21"/>
        </w:rPr>
        <w:t xml:space="preserve">3.12 </w:t>
      </w:r>
      <w:r>
        <w:rPr>
          <w:rFonts w:hint="eastAsia" w:ascii="微软雅黑" w:hAnsi="微软雅黑" w:eastAsia="微软雅黑"/>
          <w:szCs w:val="21"/>
        </w:rPr>
        <w:t xml:space="preserve"> 乙方在履行本合同的过程中，必须保守所接触或了解到的甲方的商业秘密，未经甲方书面同意不得向第三方披露；</w:t>
      </w:r>
    </w:p>
    <w:p w14:paraId="4CBB05DD">
      <w:pPr>
        <w:snapToGrid w:val="0"/>
        <w:spacing w:line="360" w:lineRule="auto"/>
        <w:ind w:left="567" w:hanging="567" w:hangingChars="270"/>
        <w:rPr>
          <w:rFonts w:ascii="微软雅黑" w:hAnsi="微软雅黑" w:eastAsia="微软雅黑"/>
          <w:szCs w:val="21"/>
        </w:rPr>
      </w:pPr>
      <w:r>
        <w:rPr>
          <w:rFonts w:ascii="微软雅黑" w:hAnsi="微软雅黑" w:eastAsia="微软雅黑"/>
          <w:szCs w:val="21"/>
        </w:rPr>
        <w:t xml:space="preserve">3.13 </w:t>
      </w:r>
      <w:r>
        <w:rPr>
          <w:rFonts w:hint="eastAsia" w:ascii="微软雅黑" w:hAnsi="微软雅黑" w:eastAsia="微软雅黑"/>
          <w:szCs w:val="21"/>
        </w:rPr>
        <w:t xml:space="preserve"> 乙方组建专业团队，提供本合同约定的各阶段服务。如在服务过程中，乙方的服务达不到合同的约定标准，甲方有权要求乙方更换具体经办人员。</w:t>
      </w:r>
    </w:p>
    <w:p w14:paraId="57B29E43">
      <w:pPr>
        <w:snapToGrid w:val="0"/>
        <w:spacing w:line="360" w:lineRule="auto"/>
        <w:ind w:left="567" w:hanging="567" w:hangingChars="270"/>
        <w:rPr>
          <w:rFonts w:ascii="微软雅黑" w:hAnsi="微软雅黑" w:eastAsia="微软雅黑"/>
          <w:szCs w:val="21"/>
        </w:rPr>
      </w:pPr>
      <w:r>
        <w:rPr>
          <w:rFonts w:hint="eastAsia" w:ascii="微软雅黑" w:hAnsi="微软雅黑" w:eastAsia="微软雅黑"/>
          <w:szCs w:val="21"/>
        </w:rPr>
        <w:t>3.14  乙方提交的工作成果仅供甲方参考，对甲方使用该报告（包括但不限于向相关业主提交报告、甲方或业主依据报告内容作出判断、决定等任何性质的商业行为）产生之后果不承担任何责任。</w:t>
      </w:r>
    </w:p>
    <w:p w14:paraId="3B03DC6C">
      <w:pPr>
        <w:snapToGrid w:val="0"/>
        <w:spacing w:line="360" w:lineRule="auto"/>
        <w:ind w:left="567" w:hanging="567" w:hangingChars="270"/>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15  本合同约定的其它权利和义务。</w:t>
      </w:r>
    </w:p>
    <w:p w14:paraId="3D90AABF">
      <w:pPr>
        <w:snapToGrid w:val="0"/>
        <w:spacing w:line="360" w:lineRule="auto"/>
        <w:ind w:left="567" w:hanging="567" w:hangingChars="270"/>
        <w:rPr>
          <w:rFonts w:ascii="微软雅黑" w:hAnsi="微软雅黑" w:eastAsia="微软雅黑"/>
          <w:szCs w:val="21"/>
        </w:rPr>
      </w:pPr>
    </w:p>
    <w:p w14:paraId="2E530B4D">
      <w:pPr>
        <w:snapToGrid w:val="0"/>
        <w:spacing w:line="360" w:lineRule="auto"/>
        <w:rPr>
          <w:rFonts w:ascii="微软雅黑" w:hAnsi="微软雅黑" w:eastAsia="微软雅黑"/>
          <w:b/>
          <w:bCs/>
          <w:szCs w:val="21"/>
        </w:rPr>
      </w:pPr>
      <w:r>
        <w:rPr>
          <w:rFonts w:hint="eastAsia" w:ascii="微软雅黑" w:hAnsi="微软雅黑" w:eastAsia="微软雅黑"/>
          <w:b/>
          <w:bCs/>
          <w:szCs w:val="21"/>
        </w:rPr>
        <w:t>第四条、合作项目相关成果提交期限:</w:t>
      </w:r>
    </w:p>
    <w:p w14:paraId="7E65BC78">
      <w:pPr>
        <w:snapToGrid w:val="0"/>
        <w:spacing w:line="360" w:lineRule="auto"/>
        <w:ind w:left="567" w:hanging="567" w:hangingChars="270"/>
        <w:rPr>
          <w:rFonts w:ascii="微软雅黑" w:hAnsi="微软雅黑" w:eastAsia="微软雅黑"/>
          <w:szCs w:val="21"/>
        </w:rPr>
      </w:pPr>
      <w:r>
        <w:rPr>
          <w:rFonts w:hint="eastAsia" w:ascii="微软雅黑" w:hAnsi="微软雅黑" w:eastAsia="微软雅黑"/>
          <w:szCs w:val="21"/>
        </w:rPr>
        <w:t>4</w:t>
      </w:r>
      <w:r>
        <w:rPr>
          <w:rFonts w:ascii="微软雅黑" w:hAnsi="微软雅黑" w:eastAsia="微软雅黑"/>
          <w:szCs w:val="21"/>
        </w:rPr>
        <w:t>.</w:t>
      </w:r>
      <w:r>
        <w:rPr>
          <w:rFonts w:hint="eastAsia" w:ascii="微软雅黑" w:hAnsi="微软雅黑" w:eastAsia="微软雅黑"/>
          <w:szCs w:val="21"/>
        </w:rPr>
        <w:t>1  自乙方收到甲方提供的完整资料之日起20个工作日内，乙方应向甲方提交报告初稿，甲方应在收到报告初稿后</w:t>
      </w:r>
      <w:r>
        <w:rPr>
          <w:rFonts w:ascii="微软雅黑" w:hAnsi="微软雅黑" w:eastAsia="微软雅黑"/>
          <w:szCs w:val="21"/>
        </w:rPr>
        <w:t>1</w:t>
      </w:r>
      <w:r>
        <w:rPr>
          <w:rFonts w:hint="eastAsia" w:ascii="微软雅黑" w:hAnsi="微软雅黑" w:eastAsia="微软雅黑"/>
          <w:szCs w:val="21"/>
        </w:rPr>
        <w:t>0个工作日内向乙方提出书面反馈意见；自乙方收到甲方提供的完整资料之日起40个工作日内，乙方应向甲方提交报告终稿，甲方应在收到报告终稿后</w:t>
      </w:r>
      <w:r>
        <w:rPr>
          <w:rFonts w:ascii="微软雅黑" w:hAnsi="微软雅黑" w:eastAsia="微软雅黑"/>
          <w:szCs w:val="21"/>
        </w:rPr>
        <w:t>1</w:t>
      </w:r>
      <w:r>
        <w:rPr>
          <w:rFonts w:hint="eastAsia" w:ascii="微软雅黑" w:hAnsi="微软雅黑" w:eastAsia="微软雅黑"/>
          <w:szCs w:val="21"/>
        </w:rPr>
        <w:t>0个工作日内向乙方提出书面反馈意见。</w:t>
      </w:r>
    </w:p>
    <w:p w14:paraId="6E7F45FE">
      <w:pPr>
        <w:spacing w:line="360" w:lineRule="auto"/>
        <w:ind w:left="567" w:hanging="567" w:hangingChars="270"/>
        <w:rPr>
          <w:rFonts w:ascii="微软雅黑" w:hAnsi="微软雅黑" w:eastAsia="微软雅黑"/>
          <w:szCs w:val="21"/>
        </w:rPr>
      </w:pPr>
      <w:r>
        <w:rPr>
          <w:rFonts w:hint="eastAsia" w:ascii="微软雅黑" w:hAnsi="微软雅黑" w:eastAsia="微软雅黑"/>
          <w:szCs w:val="21"/>
        </w:rPr>
        <w:t>4</w:t>
      </w:r>
      <w:r>
        <w:rPr>
          <w:rFonts w:ascii="微软雅黑" w:hAnsi="微软雅黑" w:eastAsia="微软雅黑"/>
          <w:szCs w:val="21"/>
        </w:rPr>
        <w:t>.2</w:t>
      </w:r>
      <w:r>
        <w:rPr>
          <w:rFonts w:hint="eastAsia" w:ascii="微软雅黑" w:hAnsi="微软雅黑" w:eastAsia="微软雅黑"/>
          <w:szCs w:val="21"/>
        </w:rPr>
        <w:t xml:space="preserve">  若因市场或甲方原因导致本项目计划延误或服务内容发生变化的，经双方协商同意后终止本合同或双方另行以补充协议的形式就时间节点、服务期限和服务内容重新进行确认，作为本合同之不可分割部分。</w:t>
      </w:r>
    </w:p>
    <w:p w14:paraId="3F3D9744">
      <w:pPr>
        <w:spacing w:line="360" w:lineRule="auto"/>
        <w:ind w:left="567" w:hanging="567" w:hangingChars="270"/>
        <w:rPr>
          <w:rFonts w:ascii="微软雅黑" w:hAnsi="微软雅黑" w:eastAsia="微软雅黑"/>
          <w:szCs w:val="21"/>
        </w:rPr>
      </w:pPr>
    </w:p>
    <w:p w14:paraId="79A99940">
      <w:pPr>
        <w:snapToGrid w:val="0"/>
        <w:spacing w:line="360" w:lineRule="auto"/>
        <w:rPr>
          <w:rFonts w:ascii="微软雅黑" w:hAnsi="微软雅黑" w:eastAsia="微软雅黑"/>
          <w:b/>
          <w:bCs/>
          <w:szCs w:val="21"/>
        </w:rPr>
      </w:pPr>
      <w:r>
        <w:rPr>
          <w:rFonts w:hint="eastAsia" w:ascii="微软雅黑" w:hAnsi="微软雅黑" w:eastAsia="微软雅黑"/>
          <w:b/>
          <w:bCs/>
          <w:szCs w:val="21"/>
        </w:rPr>
        <w:t>第五条、服务费用及支付方式：</w:t>
      </w:r>
    </w:p>
    <w:p w14:paraId="4522D7BE">
      <w:pPr>
        <w:spacing w:line="360" w:lineRule="auto"/>
        <w:rPr>
          <w:rFonts w:ascii="微软雅黑" w:hAnsi="微软雅黑" w:eastAsia="微软雅黑"/>
          <w:szCs w:val="21"/>
        </w:rPr>
      </w:pPr>
      <w:r>
        <w:rPr>
          <w:rFonts w:hint="eastAsia" w:ascii="微软雅黑" w:hAnsi="微软雅黑" w:eastAsia="微软雅黑"/>
          <w:szCs w:val="21"/>
        </w:rPr>
        <w:t>5</w:t>
      </w:r>
      <w:r>
        <w:rPr>
          <w:rFonts w:ascii="微软雅黑" w:hAnsi="微软雅黑" w:eastAsia="微软雅黑"/>
          <w:szCs w:val="21"/>
        </w:rPr>
        <w:t>.</w:t>
      </w:r>
      <w:r>
        <w:rPr>
          <w:rFonts w:hint="eastAsia" w:ascii="微软雅黑" w:hAnsi="微软雅黑" w:eastAsia="微软雅黑"/>
          <w:szCs w:val="21"/>
        </w:rPr>
        <w:t>1</w:t>
      </w:r>
      <w:r>
        <w:rPr>
          <w:rFonts w:ascii="微软雅黑" w:hAnsi="微软雅黑" w:eastAsia="微软雅黑"/>
          <w:szCs w:val="21"/>
        </w:rPr>
        <w:t xml:space="preserve">  </w:t>
      </w:r>
      <w:r>
        <w:rPr>
          <w:rFonts w:hint="eastAsia" w:ascii="微软雅黑" w:hAnsi="微软雅黑" w:eastAsia="微软雅黑"/>
          <w:szCs w:val="21"/>
        </w:rPr>
        <w:t>服务费用金额</w:t>
      </w:r>
    </w:p>
    <w:p w14:paraId="46CD655F">
      <w:pPr>
        <w:snapToGrid w:val="0"/>
        <w:spacing w:line="360" w:lineRule="auto"/>
        <w:ind w:left="567" w:hanging="567" w:hangingChars="270"/>
        <w:rPr>
          <w:rFonts w:ascii="微软雅黑" w:hAnsi="微软雅黑" w:eastAsia="微软雅黑"/>
          <w:szCs w:val="21"/>
        </w:rPr>
      </w:pPr>
      <w:r>
        <w:rPr>
          <w:rFonts w:hint="eastAsia" w:ascii="微软雅黑" w:hAnsi="微软雅黑" w:eastAsia="微软雅黑"/>
          <w:szCs w:val="21"/>
        </w:rPr>
        <w:t>甲乙双方同意，本合同服务服务费用为：</w:t>
      </w:r>
    </w:p>
    <w:p w14:paraId="75DD0D0E">
      <w:pPr>
        <w:snapToGrid w:val="0"/>
        <w:spacing w:line="360" w:lineRule="auto"/>
        <w:ind w:left="360"/>
        <w:rPr>
          <w:rFonts w:ascii="微软雅黑" w:hAnsi="微软雅黑" w:eastAsia="微软雅黑"/>
          <w:szCs w:val="21"/>
        </w:rPr>
      </w:pPr>
      <w:r>
        <w:rPr>
          <w:rFonts w:hint="eastAsia" w:ascii="微软雅黑" w:hAnsi="微软雅黑" w:eastAsia="微软雅黑"/>
          <w:szCs w:val="21"/>
        </w:rPr>
        <w:t>本项目服务费含税总金额为人民币</w:t>
      </w:r>
      <w:r>
        <w:rPr>
          <w:rFonts w:hint="eastAsia" w:ascii="微软雅黑" w:hAnsi="微软雅黑" w:eastAsia="微软雅黑"/>
          <w:szCs w:val="21"/>
          <w:u w:val="single"/>
          <w:lang w:val="en-US" w:eastAsia="zh-CN"/>
        </w:rPr>
        <w:t xml:space="preserve">      </w:t>
      </w:r>
      <w:r>
        <w:rPr>
          <w:rFonts w:hint="eastAsia" w:ascii="微软雅黑" w:hAnsi="微软雅黑" w:eastAsia="微软雅黑"/>
          <w:szCs w:val="21"/>
          <w:u w:val="single"/>
        </w:rPr>
        <w:t>元</w:t>
      </w:r>
      <w:r>
        <w:rPr>
          <w:rFonts w:hint="eastAsia" w:ascii="微软雅黑" w:hAnsi="微软雅黑" w:eastAsia="微软雅黑"/>
          <w:szCs w:val="21"/>
        </w:rPr>
        <w:t>（大写：</w:t>
      </w:r>
      <w:r>
        <w:rPr>
          <w:rFonts w:hint="eastAsia" w:ascii="微软雅黑" w:hAnsi="微软雅黑" w:eastAsia="微软雅黑"/>
          <w:szCs w:val="21"/>
          <w:u w:val="single"/>
          <w:lang w:val="en-US" w:eastAsia="zh-CN"/>
        </w:rPr>
        <w:t xml:space="preserve">      </w:t>
      </w:r>
      <w:r>
        <w:rPr>
          <w:rFonts w:hint="eastAsia" w:ascii="微软雅黑" w:hAnsi="微软雅黑" w:eastAsia="微软雅黑"/>
          <w:szCs w:val="21"/>
          <w:u w:val="single"/>
        </w:rPr>
        <w:t>，</w:t>
      </w:r>
      <w:r>
        <w:rPr>
          <w:rFonts w:hint="eastAsia" w:ascii="微软雅黑" w:hAnsi="微软雅黑" w:eastAsia="微软雅黑"/>
          <w:szCs w:val="21"/>
        </w:rPr>
        <w:t>税率为</w:t>
      </w:r>
      <w:r>
        <w:rPr>
          <w:rFonts w:hint="eastAsia" w:ascii="微软雅黑" w:hAnsi="微软雅黑" w:eastAsia="微软雅黑"/>
          <w:szCs w:val="21"/>
          <w:u w:val="single"/>
        </w:rPr>
        <w:t>：6%</w:t>
      </w:r>
      <w:r>
        <w:rPr>
          <w:rFonts w:hint="eastAsia" w:ascii="微软雅黑" w:hAnsi="微软雅黑" w:eastAsia="微软雅黑"/>
          <w:szCs w:val="21"/>
        </w:rPr>
        <w:t>），其中不含税金额为人民币</w:t>
      </w:r>
      <w:r>
        <w:rPr>
          <w:rFonts w:hint="eastAsia" w:ascii="微软雅黑" w:hAnsi="微软雅黑" w:eastAsia="微软雅黑"/>
          <w:szCs w:val="21"/>
          <w:u w:val="single"/>
          <w:lang w:val="en-US" w:eastAsia="zh-CN"/>
        </w:rPr>
        <w:t xml:space="preserve">           </w:t>
      </w:r>
      <w:r>
        <w:rPr>
          <w:rFonts w:hint="eastAsia" w:ascii="微软雅黑" w:hAnsi="微软雅黑" w:eastAsia="微软雅黑"/>
          <w:szCs w:val="21"/>
          <w:u w:val="single"/>
        </w:rPr>
        <w:t>元</w:t>
      </w:r>
      <w:r>
        <w:rPr>
          <w:rFonts w:hint="eastAsia" w:ascii="微软雅黑" w:hAnsi="微软雅黑" w:eastAsia="微软雅黑"/>
          <w:szCs w:val="21"/>
        </w:rPr>
        <w:t>（大写：</w:t>
      </w:r>
      <w:r>
        <w:rPr>
          <w:rFonts w:hint="eastAsia" w:ascii="微软雅黑" w:hAnsi="微软雅黑" w:eastAsia="微软雅黑"/>
          <w:szCs w:val="21"/>
          <w:u w:val="single"/>
          <w:lang w:val="en-US" w:eastAsia="zh-CN"/>
        </w:rPr>
        <w:t xml:space="preserve">           </w:t>
      </w:r>
      <w:r>
        <w:rPr>
          <w:rFonts w:hint="eastAsia" w:ascii="微软雅黑" w:hAnsi="微软雅黑" w:eastAsia="微软雅黑"/>
          <w:szCs w:val="21"/>
        </w:rPr>
        <w:t>），增值税为人民币</w:t>
      </w:r>
      <w:r>
        <w:rPr>
          <w:rFonts w:hint="eastAsia" w:ascii="微软雅黑" w:hAnsi="微软雅黑" w:eastAsia="微软雅黑"/>
          <w:szCs w:val="21"/>
          <w:u w:val="single"/>
          <w:lang w:val="en-US" w:eastAsia="zh-CN"/>
        </w:rPr>
        <w:t xml:space="preserve">            </w:t>
      </w:r>
      <w:r>
        <w:rPr>
          <w:rFonts w:hint="eastAsia" w:ascii="微软雅黑" w:hAnsi="微软雅黑" w:eastAsia="微软雅黑"/>
          <w:szCs w:val="21"/>
          <w:u w:val="single"/>
        </w:rPr>
        <w:t>元</w:t>
      </w:r>
      <w:r>
        <w:rPr>
          <w:rFonts w:hint="eastAsia" w:ascii="微软雅黑" w:hAnsi="微软雅黑" w:eastAsia="微软雅黑"/>
          <w:szCs w:val="21"/>
        </w:rPr>
        <w:t>（大写：</w:t>
      </w:r>
      <w:r>
        <w:rPr>
          <w:rFonts w:hint="eastAsia" w:ascii="微软雅黑" w:hAnsi="微软雅黑" w:eastAsia="微软雅黑"/>
          <w:szCs w:val="21"/>
          <w:u w:val="single"/>
          <w:lang w:val="en-US" w:eastAsia="zh-CN"/>
        </w:rPr>
        <w:t xml:space="preserve">               </w:t>
      </w:r>
      <w:r>
        <w:rPr>
          <w:rFonts w:hint="eastAsia" w:ascii="微软雅黑" w:hAnsi="微软雅黑" w:eastAsia="微软雅黑"/>
          <w:szCs w:val="21"/>
          <w:u w:val="single"/>
        </w:rPr>
        <w:t>）</w:t>
      </w:r>
      <w:r>
        <w:rPr>
          <w:rFonts w:hint="eastAsia" w:ascii="微软雅黑" w:hAnsi="微软雅黑" w:eastAsia="微软雅黑"/>
          <w:szCs w:val="21"/>
        </w:rPr>
        <w:t>。</w:t>
      </w:r>
    </w:p>
    <w:p w14:paraId="69A4066F">
      <w:pPr>
        <w:snapToGrid w:val="0"/>
        <w:spacing w:line="360" w:lineRule="auto"/>
        <w:ind w:left="360"/>
        <w:rPr>
          <w:rFonts w:ascii="微软雅黑" w:hAnsi="微软雅黑" w:eastAsia="微软雅黑"/>
          <w:b/>
          <w:szCs w:val="21"/>
        </w:rPr>
      </w:pPr>
      <w:r>
        <w:rPr>
          <w:rFonts w:hint="eastAsia" w:ascii="微软雅黑" w:hAnsi="微软雅黑" w:eastAsia="微软雅黑"/>
          <w:szCs w:val="21"/>
        </w:rPr>
        <w:t>支付方式</w:t>
      </w:r>
      <w:r>
        <w:rPr>
          <w:rFonts w:hint="eastAsia" w:ascii="微软雅黑" w:hAnsi="微软雅黑" w:eastAsia="微软雅黑"/>
          <w:b/>
          <w:szCs w:val="21"/>
        </w:rPr>
        <w:t>：</w:t>
      </w:r>
    </w:p>
    <w:p w14:paraId="58789917">
      <w:pPr>
        <w:snapToGrid w:val="0"/>
        <w:spacing w:line="360" w:lineRule="auto"/>
        <w:ind w:left="360"/>
        <w:rPr>
          <w:rFonts w:ascii="微软雅黑" w:hAnsi="微软雅黑" w:eastAsia="微软雅黑"/>
          <w:szCs w:val="21"/>
        </w:rPr>
      </w:pPr>
      <w:r>
        <w:rPr>
          <w:rFonts w:hint="eastAsia" w:ascii="微软雅黑" w:hAnsi="微软雅黑" w:eastAsia="微软雅黑"/>
          <w:szCs w:val="21"/>
        </w:rPr>
        <w:t>合同签订之日起十个工作日内，甲方向乙方支付合同含税总费用的</w:t>
      </w:r>
      <w:r>
        <w:rPr>
          <w:rFonts w:hint="eastAsia" w:ascii="微软雅黑" w:hAnsi="微软雅黑" w:eastAsia="微软雅黑"/>
          <w:szCs w:val="21"/>
          <w:lang w:val="en-US" w:eastAsia="zh-CN"/>
        </w:rPr>
        <w:t>4</w:t>
      </w:r>
      <w:r>
        <w:rPr>
          <w:rFonts w:hint="eastAsia" w:ascii="微软雅黑" w:hAnsi="微软雅黑" w:eastAsia="微软雅黑"/>
          <w:szCs w:val="21"/>
        </w:rPr>
        <w:t>0%，即人民币</w:t>
      </w:r>
    </w:p>
    <w:p w14:paraId="52049D4F">
      <w:pPr>
        <w:snapToGrid w:val="0"/>
        <w:spacing w:line="360" w:lineRule="auto"/>
        <w:ind w:left="360"/>
        <w:rPr>
          <w:rFonts w:ascii="微软雅黑" w:hAnsi="微软雅黑" w:eastAsia="微软雅黑"/>
          <w:szCs w:val="21"/>
        </w:rPr>
      </w:pPr>
      <w:r>
        <w:rPr>
          <w:rFonts w:hint="eastAsia" w:ascii="微软雅黑" w:hAnsi="微软雅黑" w:eastAsia="微软雅黑"/>
          <w:szCs w:val="21"/>
          <w:u w:val="single"/>
          <w:lang w:val="en-US" w:eastAsia="zh-CN"/>
        </w:rPr>
        <w:t xml:space="preserve">            </w:t>
      </w:r>
      <w:r>
        <w:rPr>
          <w:rFonts w:hint="eastAsia" w:ascii="微软雅黑" w:hAnsi="微软雅黑" w:eastAsia="微软雅黑"/>
          <w:szCs w:val="21"/>
        </w:rPr>
        <w:t>元（大写：</w:t>
      </w:r>
      <w:r>
        <w:rPr>
          <w:rFonts w:hint="eastAsia" w:ascii="微软雅黑" w:hAnsi="微软雅黑" w:eastAsia="微软雅黑"/>
          <w:szCs w:val="21"/>
          <w:u w:val="single"/>
          <w:lang w:val="en-US" w:eastAsia="zh-CN"/>
        </w:rPr>
        <w:t xml:space="preserve">           整</w:t>
      </w:r>
      <w:r>
        <w:rPr>
          <w:rFonts w:hint="eastAsia" w:ascii="微软雅黑" w:hAnsi="微软雅黑" w:eastAsia="微软雅黑"/>
          <w:szCs w:val="21"/>
        </w:rPr>
        <w:t>）；</w:t>
      </w:r>
    </w:p>
    <w:p w14:paraId="2E53D43A">
      <w:pPr>
        <w:snapToGrid w:val="0"/>
        <w:spacing w:line="360" w:lineRule="auto"/>
        <w:ind w:left="360"/>
        <w:rPr>
          <w:rFonts w:ascii="微软雅黑" w:hAnsi="微软雅黑" w:eastAsia="微软雅黑"/>
          <w:szCs w:val="21"/>
        </w:rPr>
      </w:pPr>
      <w:r>
        <w:rPr>
          <w:rFonts w:hint="eastAsia" w:ascii="微软雅黑" w:hAnsi="微软雅黑" w:eastAsia="微软雅黑"/>
          <w:szCs w:val="21"/>
        </w:rPr>
        <w:t>乙方提交项目策划方案初稿的十个工作日内, 甲方向乙方支付合同含税总费用的</w:t>
      </w:r>
      <w:r>
        <w:rPr>
          <w:rFonts w:hint="eastAsia" w:ascii="微软雅黑" w:hAnsi="微软雅黑" w:eastAsia="微软雅黑"/>
          <w:szCs w:val="21"/>
          <w:lang w:val="en-US" w:eastAsia="zh-CN"/>
        </w:rPr>
        <w:t>4</w:t>
      </w:r>
      <w:r>
        <w:rPr>
          <w:rFonts w:hint="eastAsia" w:ascii="微软雅黑" w:hAnsi="微软雅黑" w:eastAsia="微软雅黑"/>
          <w:szCs w:val="21"/>
        </w:rPr>
        <w:t>0%，即人民币</w:t>
      </w:r>
      <w:r>
        <w:rPr>
          <w:rFonts w:hint="eastAsia" w:ascii="微软雅黑" w:hAnsi="微软雅黑" w:eastAsia="微软雅黑"/>
          <w:szCs w:val="21"/>
          <w:u w:val="single"/>
          <w:lang w:val="en-US" w:eastAsia="zh-CN"/>
        </w:rPr>
        <w:t xml:space="preserve">            </w:t>
      </w:r>
      <w:r>
        <w:rPr>
          <w:rFonts w:hint="eastAsia" w:ascii="微软雅黑" w:hAnsi="微软雅黑" w:eastAsia="微软雅黑"/>
          <w:szCs w:val="21"/>
        </w:rPr>
        <w:t>元（大写：</w:t>
      </w:r>
      <w:r>
        <w:rPr>
          <w:rFonts w:hint="eastAsia" w:ascii="微软雅黑" w:hAnsi="微软雅黑" w:eastAsia="微软雅黑"/>
          <w:szCs w:val="21"/>
          <w:u w:val="single"/>
          <w:lang w:val="en-US" w:eastAsia="zh-CN"/>
        </w:rPr>
        <w:t xml:space="preserve">            整</w:t>
      </w:r>
      <w:r>
        <w:rPr>
          <w:rFonts w:hint="eastAsia" w:ascii="微软雅黑" w:hAnsi="微软雅黑" w:eastAsia="微软雅黑"/>
          <w:szCs w:val="21"/>
        </w:rPr>
        <w:t>））</w:t>
      </w:r>
    </w:p>
    <w:p w14:paraId="3033878A">
      <w:pPr>
        <w:snapToGrid w:val="0"/>
        <w:spacing w:line="360" w:lineRule="auto"/>
        <w:ind w:left="360"/>
        <w:rPr>
          <w:rFonts w:ascii="微软雅黑" w:hAnsi="微软雅黑" w:eastAsia="微软雅黑"/>
          <w:szCs w:val="21"/>
        </w:rPr>
      </w:pPr>
      <w:r>
        <w:rPr>
          <w:rFonts w:hint="eastAsia" w:ascii="微软雅黑" w:hAnsi="微软雅黑" w:eastAsia="微软雅黑"/>
          <w:szCs w:val="21"/>
        </w:rPr>
        <w:t>乙方提交项目策划方案终稿并经甲方验收合格后的十个工作日内, 甲方向乙方支付合同含税总费用的20%，即人民币</w:t>
      </w:r>
      <w:r>
        <w:rPr>
          <w:rFonts w:hint="eastAsia" w:ascii="微软雅黑" w:hAnsi="微软雅黑" w:eastAsia="微软雅黑"/>
          <w:szCs w:val="21"/>
          <w:u w:val="single"/>
          <w:lang w:val="en-US" w:eastAsia="zh-CN"/>
        </w:rPr>
        <w:t xml:space="preserve">              </w:t>
      </w:r>
      <w:r>
        <w:rPr>
          <w:rFonts w:hint="eastAsia" w:ascii="微软雅黑" w:hAnsi="微软雅黑" w:eastAsia="微软雅黑"/>
          <w:szCs w:val="21"/>
        </w:rPr>
        <w:t>元（大写：</w:t>
      </w:r>
      <w:r>
        <w:rPr>
          <w:rFonts w:hint="eastAsia" w:ascii="微软雅黑" w:hAnsi="微软雅黑" w:eastAsia="微软雅黑"/>
          <w:szCs w:val="21"/>
          <w:u w:val="single"/>
          <w:lang w:val="en-US" w:eastAsia="zh-CN"/>
        </w:rPr>
        <w:t xml:space="preserve">           整</w:t>
      </w:r>
      <w:r>
        <w:rPr>
          <w:rFonts w:hint="eastAsia" w:ascii="微软雅黑" w:hAnsi="微软雅黑" w:eastAsia="微软雅黑"/>
          <w:szCs w:val="21"/>
        </w:rPr>
        <w:t>）；。</w:t>
      </w:r>
    </w:p>
    <w:p w14:paraId="77BEB5DC">
      <w:pPr>
        <w:spacing w:line="360" w:lineRule="auto"/>
        <w:ind w:left="567" w:hanging="567" w:hangingChars="270"/>
        <w:rPr>
          <w:rFonts w:ascii="微软雅黑" w:hAnsi="微软雅黑" w:eastAsia="微软雅黑"/>
          <w:szCs w:val="21"/>
        </w:rPr>
      </w:pPr>
      <w:r>
        <w:rPr>
          <w:rFonts w:ascii="微软雅黑" w:hAnsi="微软雅黑" w:eastAsia="微软雅黑"/>
          <w:szCs w:val="21"/>
        </w:rPr>
        <w:t xml:space="preserve">5.2  </w:t>
      </w:r>
      <w:r>
        <w:rPr>
          <w:rFonts w:hint="eastAsia" w:ascii="微软雅黑" w:hAnsi="微软雅黑" w:eastAsia="微软雅黑"/>
          <w:szCs w:val="21"/>
        </w:rPr>
        <w:t>甲方向乙方支付上述款项前，乙方应向甲方提供相应金额合法有效的增值税专用发票；在未收到前述发票前，甲方有权拒绝付款，并不承担任何违约责任。如因国家政策或法律变化导致税种和/或税率发生变化，则双方将就因此引起的价格变化另行进行协商。</w:t>
      </w:r>
    </w:p>
    <w:p w14:paraId="255BBA6D">
      <w:pPr>
        <w:spacing w:line="360" w:lineRule="auto"/>
        <w:ind w:left="567" w:hanging="567" w:hangingChars="270"/>
        <w:rPr>
          <w:rFonts w:ascii="微软雅黑" w:hAnsi="微软雅黑" w:eastAsia="微软雅黑"/>
          <w:szCs w:val="21"/>
        </w:rPr>
      </w:pPr>
      <w:r>
        <w:rPr>
          <w:rFonts w:hint="eastAsia" w:ascii="微软雅黑" w:hAnsi="微软雅黑" w:eastAsia="微软雅黑"/>
          <w:szCs w:val="21"/>
        </w:rPr>
        <w:t>5</w:t>
      </w:r>
      <w:r>
        <w:rPr>
          <w:rFonts w:ascii="微软雅黑" w:hAnsi="微软雅黑" w:eastAsia="微软雅黑"/>
          <w:szCs w:val="21"/>
        </w:rPr>
        <w:t>.</w:t>
      </w:r>
      <w:r>
        <w:rPr>
          <w:rFonts w:hint="eastAsia" w:ascii="微软雅黑" w:hAnsi="微软雅黑" w:eastAsia="微软雅黑"/>
          <w:szCs w:val="21"/>
        </w:rPr>
        <w:t>3</w:t>
      </w:r>
      <w:r>
        <w:rPr>
          <w:rFonts w:ascii="微软雅黑" w:hAnsi="微软雅黑" w:eastAsia="微软雅黑"/>
          <w:szCs w:val="21"/>
        </w:rPr>
        <w:t xml:space="preserve">  </w:t>
      </w:r>
      <w:r>
        <w:rPr>
          <w:rFonts w:hint="eastAsia" w:ascii="微软雅黑" w:hAnsi="微软雅黑" w:eastAsia="微软雅黑"/>
          <w:szCs w:val="21"/>
        </w:rPr>
        <w:t>甲方应当将以上费用存入乙方指定账户，乙方因履行本合同所收取的服务费用而产生的税费由乙方自行支付。</w:t>
      </w:r>
    </w:p>
    <w:tbl>
      <w:tblPr>
        <w:tblStyle w:val="6"/>
        <w:tblW w:w="8108" w:type="dxa"/>
        <w:tblInd w:w="534" w:type="dxa"/>
        <w:tblLayout w:type="fixed"/>
        <w:tblCellMar>
          <w:top w:w="0" w:type="dxa"/>
          <w:left w:w="108" w:type="dxa"/>
          <w:bottom w:w="0" w:type="dxa"/>
          <w:right w:w="108" w:type="dxa"/>
        </w:tblCellMar>
      </w:tblPr>
      <w:tblGrid>
        <w:gridCol w:w="8108"/>
      </w:tblGrid>
      <w:tr w14:paraId="5E625981">
        <w:tblPrEx>
          <w:tblCellMar>
            <w:top w:w="0" w:type="dxa"/>
            <w:left w:w="108" w:type="dxa"/>
            <w:bottom w:w="0" w:type="dxa"/>
            <w:right w:w="108" w:type="dxa"/>
          </w:tblCellMar>
        </w:tblPrEx>
        <w:trPr>
          <w:trHeight w:val="345" w:hRule="atLeast"/>
        </w:trPr>
        <w:tc>
          <w:tcPr>
            <w:tcW w:w="8108" w:type="dxa"/>
            <w:noWrap w:val="0"/>
            <w:vAlign w:val="center"/>
          </w:tcPr>
          <w:p w14:paraId="7CB5A4FA">
            <w:pPr>
              <w:snapToGrid w:val="0"/>
              <w:spacing w:line="360" w:lineRule="auto"/>
              <w:jc w:val="left"/>
              <w:rPr>
                <w:rFonts w:ascii="微软雅黑" w:hAnsi="微软雅黑" w:eastAsia="微软雅黑"/>
                <w:szCs w:val="21"/>
              </w:rPr>
            </w:pPr>
            <w:r>
              <w:rPr>
                <w:rFonts w:hint="eastAsia" w:ascii="微软雅黑" w:hAnsi="微软雅黑" w:eastAsia="微软雅黑"/>
                <w:szCs w:val="21"/>
              </w:rPr>
              <w:t>银行名称：</w:t>
            </w:r>
          </w:p>
        </w:tc>
      </w:tr>
      <w:tr w14:paraId="04221955">
        <w:tblPrEx>
          <w:tblCellMar>
            <w:top w:w="0" w:type="dxa"/>
            <w:left w:w="108" w:type="dxa"/>
            <w:bottom w:w="0" w:type="dxa"/>
            <w:right w:w="108" w:type="dxa"/>
          </w:tblCellMar>
        </w:tblPrEx>
        <w:trPr>
          <w:trHeight w:val="345" w:hRule="atLeast"/>
        </w:trPr>
        <w:tc>
          <w:tcPr>
            <w:tcW w:w="8108" w:type="dxa"/>
            <w:noWrap w:val="0"/>
            <w:vAlign w:val="center"/>
          </w:tcPr>
          <w:p w14:paraId="252F35AE">
            <w:pPr>
              <w:snapToGrid w:val="0"/>
              <w:spacing w:line="360" w:lineRule="auto"/>
              <w:jc w:val="left"/>
              <w:rPr>
                <w:rFonts w:ascii="微软雅黑" w:hAnsi="微软雅黑" w:eastAsia="微软雅黑"/>
                <w:szCs w:val="21"/>
              </w:rPr>
            </w:pPr>
            <w:r>
              <w:rPr>
                <w:rFonts w:hint="eastAsia" w:ascii="微软雅黑" w:hAnsi="微软雅黑" w:eastAsia="微软雅黑"/>
                <w:szCs w:val="21"/>
              </w:rPr>
              <w:t>开户名称：</w:t>
            </w:r>
          </w:p>
        </w:tc>
      </w:tr>
      <w:tr w14:paraId="254B9599">
        <w:tblPrEx>
          <w:tblCellMar>
            <w:top w:w="0" w:type="dxa"/>
            <w:left w:w="108" w:type="dxa"/>
            <w:bottom w:w="0" w:type="dxa"/>
            <w:right w:w="108" w:type="dxa"/>
          </w:tblCellMar>
        </w:tblPrEx>
        <w:trPr>
          <w:trHeight w:val="345" w:hRule="atLeast"/>
        </w:trPr>
        <w:tc>
          <w:tcPr>
            <w:tcW w:w="8108" w:type="dxa"/>
            <w:noWrap w:val="0"/>
            <w:vAlign w:val="center"/>
          </w:tcPr>
          <w:p w14:paraId="68A8ED95">
            <w:pPr>
              <w:snapToGrid w:val="0"/>
              <w:spacing w:line="360" w:lineRule="auto"/>
              <w:jc w:val="left"/>
              <w:rPr>
                <w:rFonts w:ascii="微软雅黑" w:hAnsi="微软雅黑" w:eastAsia="微软雅黑"/>
                <w:szCs w:val="21"/>
              </w:rPr>
            </w:pPr>
            <w:r>
              <w:rPr>
                <w:rFonts w:hint="eastAsia" w:ascii="微软雅黑" w:hAnsi="微软雅黑" w:eastAsia="微软雅黑"/>
                <w:szCs w:val="21"/>
              </w:rPr>
              <w:t>帐  号：</w:t>
            </w:r>
          </w:p>
        </w:tc>
      </w:tr>
    </w:tbl>
    <w:p w14:paraId="6C29B9F5">
      <w:pPr>
        <w:snapToGrid w:val="0"/>
        <w:spacing w:line="360" w:lineRule="auto"/>
        <w:rPr>
          <w:rFonts w:ascii="微软雅黑" w:hAnsi="微软雅黑" w:eastAsia="微软雅黑"/>
          <w:szCs w:val="21"/>
        </w:rPr>
      </w:pPr>
    </w:p>
    <w:p w14:paraId="18843AD2">
      <w:pPr>
        <w:snapToGrid w:val="0"/>
        <w:spacing w:line="360" w:lineRule="auto"/>
        <w:rPr>
          <w:rFonts w:ascii="微软雅黑" w:hAnsi="微软雅黑" w:eastAsia="微软雅黑"/>
          <w:b/>
          <w:bCs/>
          <w:szCs w:val="21"/>
        </w:rPr>
      </w:pPr>
      <w:r>
        <w:rPr>
          <w:rFonts w:hint="eastAsia" w:ascii="微软雅黑" w:hAnsi="微软雅黑" w:eastAsia="微软雅黑"/>
          <w:b/>
          <w:bCs/>
          <w:szCs w:val="21"/>
        </w:rPr>
        <w:t>第六条、工作成果提交方式</w:t>
      </w:r>
    </w:p>
    <w:p w14:paraId="09EE7F5A">
      <w:pPr>
        <w:snapToGrid w:val="0"/>
        <w:spacing w:line="360" w:lineRule="auto"/>
        <w:rPr>
          <w:rFonts w:ascii="微软雅黑" w:hAnsi="微软雅黑" w:eastAsia="微软雅黑"/>
          <w:szCs w:val="21"/>
        </w:rPr>
      </w:pPr>
      <w:r>
        <w:rPr>
          <w:rFonts w:hint="eastAsia" w:ascii="微软雅黑" w:hAnsi="微软雅黑" w:eastAsia="微软雅黑"/>
          <w:szCs w:val="21"/>
        </w:rPr>
        <w:t>6</w:t>
      </w:r>
      <w:r>
        <w:rPr>
          <w:rFonts w:ascii="微软雅黑" w:hAnsi="微软雅黑" w:eastAsia="微软雅黑"/>
          <w:szCs w:val="21"/>
        </w:rPr>
        <w:t>.1</w:t>
      </w:r>
      <w:r>
        <w:rPr>
          <w:rFonts w:ascii="微软雅黑" w:hAnsi="微软雅黑" w:eastAsia="微软雅黑"/>
          <w:szCs w:val="21"/>
        </w:rPr>
        <w:tab/>
      </w:r>
      <w:r>
        <w:rPr>
          <w:rFonts w:hint="eastAsia" w:ascii="微软雅黑" w:hAnsi="微软雅黑" w:eastAsia="微软雅黑"/>
          <w:szCs w:val="21"/>
        </w:rPr>
        <w:t>报告以中文撰写，报告初稿、修改稿及终稿以PPT及PDF电子文件形式发送至甲方指定联络人电子邮箱，且终稿提交时提供盖有乙方的公章的书面文本至甲方指定联系人。</w:t>
      </w:r>
    </w:p>
    <w:p w14:paraId="345F029C">
      <w:pPr>
        <w:snapToGrid w:val="0"/>
        <w:spacing w:line="360" w:lineRule="auto"/>
        <w:rPr>
          <w:rFonts w:ascii="微软雅黑" w:hAnsi="微软雅黑" w:eastAsia="微软雅黑" w:cs="Arial"/>
          <w:b/>
          <w:bCs/>
          <w:szCs w:val="21"/>
        </w:rPr>
      </w:pPr>
    </w:p>
    <w:p w14:paraId="163C5222">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第七条、知识产权</w:t>
      </w:r>
    </w:p>
    <w:p w14:paraId="229F02F9">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szCs w:val="21"/>
        </w:rPr>
        <w:t xml:space="preserve">7.1  </w:t>
      </w:r>
      <w:r>
        <w:rPr>
          <w:rFonts w:hint="eastAsia" w:ascii="微软雅黑" w:hAnsi="微软雅黑" w:eastAsia="微软雅黑" w:cs="Arial"/>
          <w:szCs w:val="21"/>
        </w:rPr>
        <w:t>本合同项下乙方完成的以任何载体所体现的工作报告、图表的知识产权在甲方完全履行本协议下的付款义务后属于甲方所有，乙方享有署名权，并可利用本合同项下成果文件作为设计参考资料及商业宣传案例。</w:t>
      </w:r>
    </w:p>
    <w:p w14:paraId="4FD30515">
      <w:pPr>
        <w:snapToGrid w:val="0"/>
        <w:spacing w:line="360" w:lineRule="auto"/>
        <w:rPr>
          <w:rFonts w:ascii="微软雅黑" w:hAnsi="微软雅黑" w:eastAsia="微软雅黑" w:cs="Arial"/>
          <w:szCs w:val="21"/>
        </w:rPr>
      </w:pPr>
    </w:p>
    <w:p w14:paraId="2481F6C0">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第八条、保密条款</w:t>
      </w:r>
    </w:p>
    <w:p w14:paraId="5E659F90">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8</w:t>
      </w:r>
      <w:r>
        <w:rPr>
          <w:rFonts w:ascii="微软雅黑" w:hAnsi="微软雅黑" w:eastAsia="微软雅黑" w:cs="Arial"/>
          <w:szCs w:val="21"/>
        </w:rPr>
        <w:t xml:space="preserve">.1  </w:t>
      </w:r>
      <w:r>
        <w:rPr>
          <w:rFonts w:hint="eastAsia" w:ascii="微软雅黑" w:hAnsi="微软雅黑" w:eastAsia="微软雅黑" w:cs="Arial"/>
          <w:szCs w:val="21"/>
        </w:rPr>
        <w:t>甲、乙双方在本合同有效期内及本合同有效期届满或终止之日起的2年内应严格保守对方商业秘密，除本合同另有约定外。未经对方书面同意不得将保密信息对外发布或披露、提供给任何第三方，否则守约方有权向违约方追究相关经济赔偿责任和相关法律责任。</w:t>
      </w:r>
    </w:p>
    <w:p w14:paraId="6B72BB4D">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8</w:t>
      </w:r>
      <w:r>
        <w:rPr>
          <w:rFonts w:ascii="微软雅黑" w:hAnsi="微软雅黑" w:eastAsia="微软雅黑" w:cs="Arial"/>
          <w:szCs w:val="21"/>
        </w:rPr>
        <w:t>.</w:t>
      </w:r>
      <w:r>
        <w:rPr>
          <w:rFonts w:hint="eastAsia" w:ascii="微软雅黑" w:hAnsi="微软雅黑" w:eastAsia="微软雅黑" w:cs="Arial"/>
          <w:szCs w:val="21"/>
        </w:rPr>
        <w:t>2</w:t>
      </w:r>
      <w:r>
        <w:rPr>
          <w:rFonts w:ascii="微软雅黑" w:hAnsi="微软雅黑" w:eastAsia="微软雅黑" w:cs="Arial"/>
          <w:szCs w:val="21"/>
        </w:rPr>
        <w:t xml:space="preserve">  </w:t>
      </w:r>
      <w:r>
        <w:rPr>
          <w:rFonts w:hint="eastAsia" w:ascii="微软雅黑" w:hAnsi="微软雅黑" w:eastAsia="微软雅黑" w:cs="Arial"/>
          <w:szCs w:val="21"/>
        </w:rPr>
        <w:t>本条在本合同终止或解除后仍继续有效。</w:t>
      </w:r>
    </w:p>
    <w:p w14:paraId="0A35C5B6">
      <w:pPr>
        <w:snapToGrid w:val="0"/>
        <w:spacing w:line="276" w:lineRule="auto"/>
        <w:rPr>
          <w:rFonts w:ascii="微软雅黑" w:hAnsi="微软雅黑" w:eastAsia="微软雅黑" w:cs="Arial"/>
          <w:b/>
          <w:bCs/>
          <w:szCs w:val="21"/>
        </w:rPr>
      </w:pPr>
    </w:p>
    <w:p w14:paraId="4D2ECE26">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第九条 适用法律和争议解决</w:t>
      </w:r>
    </w:p>
    <w:p w14:paraId="47320D26">
      <w:pPr>
        <w:snapToGrid w:val="0"/>
        <w:spacing w:line="360" w:lineRule="auto"/>
        <w:rPr>
          <w:rFonts w:ascii="微软雅黑" w:hAnsi="微软雅黑" w:eastAsia="微软雅黑"/>
          <w:szCs w:val="21"/>
        </w:rPr>
      </w:pPr>
      <w:r>
        <w:rPr>
          <w:rFonts w:hint="eastAsia" w:ascii="微软雅黑" w:hAnsi="微软雅黑" w:eastAsia="微软雅黑"/>
          <w:szCs w:val="21"/>
        </w:rPr>
        <w:t>9</w:t>
      </w:r>
      <w:r>
        <w:rPr>
          <w:rFonts w:ascii="微软雅黑" w:hAnsi="微软雅黑" w:eastAsia="微软雅黑"/>
          <w:szCs w:val="21"/>
        </w:rPr>
        <w:t>.</w:t>
      </w:r>
      <w:r>
        <w:rPr>
          <w:rFonts w:hint="eastAsia" w:ascii="微软雅黑" w:hAnsi="微软雅黑" w:eastAsia="微软雅黑"/>
          <w:szCs w:val="21"/>
        </w:rPr>
        <w:t>1</w:t>
      </w:r>
      <w:r>
        <w:rPr>
          <w:rFonts w:ascii="微软雅黑" w:hAnsi="微软雅黑" w:eastAsia="微软雅黑"/>
          <w:szCs w:val="21"/>
        </w:rPr>
        <w:t xml:space="preserve">  </w:t>
      </w:r>
      <w:r>
        <w:rPr>
          <w:rFonts w:hint="eastAsia" w:ascii="微软雅黑" w:hAnsi="微软雅黑" w:eastAsia="微软雅黑"/>
          <w:szCs w:val="21"/>
        </w:rPr>
        <w:t>本合同适用中华人民共和国法律，因履行本协议所需，不包括中国香港、澳门及台湾</w:t>
      </w:r>
      <w:r>
        <w:rPr>
          <w:rFonts w:hint="eastAsia" w:ascii="微软雅黑" w:hAnsi="微软雅黑" w:eastAsia="微软雅黑"/>
          <w:szCs w:val="21"/>
        </w:rPr>
        <w:tab/>
      </w:r>
      <w:r>
        <w:rPr>
          <w:rFonts w:hint="eastAsia" w:ascii="微软雅黑" w:hAnsi="微软雅黑" w:eastAsia="微软雅黑"/>
          <w:szCs w:val="21"/>
        </w:rPr>
        <w:t>地区的法律。</w:t>
      </w:r>
    </w:p>
    <w:p w14:paraId="307EE0AA">
      <w:pPr>
        <w:snapToGrid w:val="0"/>
        <w:spacing w:line="360" w:lineRule="auto"/>
        <w:ind w:left="567" w:hanging="567" w:hangingChars="270"/>
        <w:rPr>
          <w:rFonts w:ascii="微软雅黑" w:hAnsi="微软雅黑" w:eastAsia="微软雅黑" w:cs="Arial"/>
          <w:bCs/>
          <w:szCs w:val="21"/>
        </w:rPr>
      </w:pPr>
      <w:r>
        <w:rPr>
          <w:rFonts w:ascii="微软雅黑" w:hAnsi="微软雅黑" w:eastAsia="微软雅黑"/>
          <w:szCs w:val="21"/>
        </w:rPr>
        <w:t>9.</w:t>
      </w:r>
      <w:r>
        <w:rPr>
          <w:rFonts w:hint="eastAsia" w:ascii="微软雅黑" w:hAnsi="微软雅黑" w:eastAsia="微软雅黑"/>
          <w:szCs w:val="21"/>
        </w:rPr>
        <w:t>2</w:t>
      </w:r>
      <w:r>
        <w:rPr>
          <w:rFonts w:ascii="微软雅黑" w:hAnsi="微软雅黑" w:eastAsia="微软雅黑"/>
          <w:szCs w:val="21"/>
        </w:rPr>
        <w:t xml:space="preserve">  </w:t>
      </w:r>
      <w:r>
        <w:rPr>
          <w:rFonts w:hint="eastAsia" w:ascii="微软雅黑" w:hAnsi="微软雅黑" w:eastAsia="微软雅黑"/>
          <w:szCs w:val="21"/>
        </w:rPr>
        <w:t>双方如对本合同内容和其履行有任何争议，双方应友好协商解决，如协商后不能解决的，任何一方均有权在甲方所在地人民法院提起诉讼。败诉方应承担为解决本争议而产生的所有费用，包括但不限于诉讼费、律师费、鉴定费、评估费、差旅费及进行财产保全、执行产生的保全费、担保费等。</w:t>
      </w:r>
    </w:p>
    <w:p w14:paraId="5612B4CF">
      <w:pPr>
        <w:snapToGrid w:val="0"/>
        <w:spacing w:line="360" w:lineRule="auto"/>
        <w:rPr>
          <w:rFonts w:ascii="微软雅黑" w:hAnsi="微软雅黑" w:eastAsia="微软雅黑" w:cs="Arial"/>
          <w:bCs/>
          <w:szCs w:val="21"/>
        </w:rPr>
      </w:pPr>
    </w:p>
    <w:p w14:paraId="0DE603D6">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第十条、违约责任：</w:t>
      </w:r>
    </w:p>
    <w:p w14:paraId="601A4893">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10</w:t>
      </w:r>
      <w:r>
        <w:rPr>
          <w:rFonts w:ascii="微软雅黑" w:hAnsi="微软雅黑" w:eastAsia="微软雅黑" w:cs="Arial"/>
          <w:szCs w:val="21"/>
        </w:rPr>
        <w:t>.</w:t>
      </w:r>
      <w:r>
        <w:rPr>
          <w:rFonts w:hint="eastAsia" w:ascii="微软雅黑" w:hAnsi="微软雅黑" w:eastAsia="微软雅黑" w:cs="Arial"/>
          <w:szCs w:val="21"/>
        </w:rPr>
        <w:t>1</w:t>
      </w:r>
      <w:r>
        <w:rPr>
          <w:rFonts w:ascii="微软雅黑" w:hAnsi="微软雅黑" w:eastAsia="微软雅黑" w:cs="Arial"/>
          <w:szCs w:val="21"/>
        </w:rPr>
        <w:t xml:space="preserve"> </w:t>
      </w:r>
      <w:r>
        <w:rPr>
          <w:rFonts w:hint="eastAsia" w:ascii="微软雅黑" w:hAnsi="微软雅黑" w:eastAsia="微软雅黑" w:cs="Arial"/>
          <w:szCs w:val="21"/>
        </w:rPr>
        <w:t>乙方必须按双方约定的时间、内容、方式完成本合同约定服务内容。任何一方如需变更服务内容，必须经过对方的书面同意。经过甲方认可的报告内容，应视为乙方已按约定完成相应服务并经甲方验收合格，甲方不应再以报告内容不符合合同约定为由抗辩。</w:t>
      </w:r>
    </w:p>
    <w:p w14:paraId="4AE2EA96">
      <w:pPr>
        <w:snapToGrid w:val="0"/>
        <w:spacing w:line="360" w:lineRule="auto"/>
        <w:ind w:left="567" w:hanging="567" w:hangingChars="270"/>
        <w:rPr>
          <w:rFonts w:ascii="微软雅黑" w:hAnsi="微软雅黑" w:eastAsia="微软雅黑" w:cs="Arial"/>
          <w:szCs w:val="21"/>
        </w:rPr>
      </w:pPr>
      <w:r>
        <w:rPr>
          <w:rFonts w:ascii="微软雅黑" w:hAnsi="微软雅黑" w:eastAsia="微软雅黑" w:cs="Arial"/>
          <w:szCs w:val="21"/>
        </w:rPr>
        <w:t>10.</w:t>
      </w:r>
      <w:r>
        <w:rPr>
          <w:rFonts w:hint="eastAsia" w:ascii="微软雅黑" w:hAnsi="微软雅黑" w:eastAsia="微软雅黑" w:cs="Arial"/>
          <w:szCs w:val="21"/>
        </w:rPr>
        <w:t>2</w:t>
      </w:r>
      <w:r>
        <w:rPr>
          <w:rFonts w:ascii="微软雅黑" w:hAnsi="微软雅黑" w:eastAsia="微软雅黑" w:cs="Arial"/>
          <w:szCs w:val="21"/>
        </w:rPr>
        <w:t xml:space="preserve"> </w:t>
      </w:r>
      <w:r>
        <w:rPr>
          <w:rFonts w:hint="eastAsia" w:ascii="微软雅黑" w:hAnsi="微软雅黑" w:eastAsia="微软雅黑" w:cs="Arial"/>
          <w:szCs w:val="21"/>
        </w:rPr>
        <w:t>乙方必须按照合同约定的时限按时完成服务，否则，每推迟一天，乙方应当按照相应阶段服务费用的千分之三向甲方支付违约金，逾期超过10天的，甲方有权解除合同，乙方应退回未完成部分的服务费，并应按已收取的服务费用的10%向甲方支付违约金。但因甲方原因或其他非乙方原因造成乙方未能按约定时限完成服务的，乙方不承担违约责任。</w:t>
      </w:r>
    </w:p>
    <w:p w14:paraId="4797C3C6">
      <w:pPr>
        <w:snapToGrid w:val="0"/>
        <w:spacing w:line="360" w:lineRule="auto"/>
        <w:ind w:left="567" w:hanging="567" w:hangingChars="270"/>
        <w:rPr>
          <w:rFonts w:ascii="微软雅黑" w:hAnsi="微软雅黑" w:eastAsia="微软雅黑" w:cs="Arial"/>
          <w:szCs w:val="21"/>
        </w:rPr>
      </w:pPr>
      <w:r>
        <w:rPr>
          <w:rFonts w:ascii="微软雅黑" w:hAnsi="微软雅黑" w:eastAsia="微软雅黑"/>
          <w:szCs w:val="21"/>
        </w:rPr>
        <w:t>10.</w:t>
      </w:r>
      <w:r>
        <w:rPr>
          <w:rFonts w:hint="eastAsia" w:ascii="微软雅黑" w:hAnsi="微软雅黑" w:eastAsia="微软雅黑"/>
          <w:szCs w:val="21"/>
        </w:rPr>
        <w:t>3</w:t>
      </w:r>
      <w:r>
        <w:rPr>
          <w:rFonts w:ascii="微软雅黑" w:hAnsi="微软雅黑" w:eastAsia="微软雅黑"/>
          <w:szCs w:val="21"/>
        </w:rPr>
        <w:t xml:space="preserve"> </w:t>
      </w:r>
      <w:r>
        <w:rPr>
          <w:rFonts w:hint="eastAsia" w:ascii="微软雅黑" w:hAnsi="微软雅黑" w:eastAsia="微软雅黑"/>
          <w:szCs w:val="21"/>
        </w:rPr>
        <w:t>甲方必须按照合同约定的时限向乙方付款，否则</w:t>
      </w:r>
      <w:r>
        <w:rPr>
          <w:rFonts w:hint="eastAsia" w:ascii="微软雅黑" w:hAnsi="微软雅黑" w:eastAsia="微软雅黑" w:cs="Arial"/>
          <w:szCs w:val="21"/>
        </w:rPr>
        <w:t>每推迟一天，甲方应当按照相应阶段服务费用的千分之三向乙方支付逾期利息，逾期利息视为服务费的一部分；逾期超过10天的，乙方有权解除合同，甲方应按照乙方已完成的相应阶段的服务，按合理比例向乙方支付服务费，并应按相应阶段服务费用的10%向乙方支付违约金。</w:t>
      </w:r>
    </w:p>
    <w:p w14:paraId="3DBF3EBC">
      <w:pPr>
        <w:snapToGrid w:val="0"/>
        <w:spacing w:line="360" w:lineRule="auto"/>
        <w:ind w:left="567" w:hanging="567" w:hangingChars="270"/>
        <w:rPr>
          <w:rFonts w:ascii="微软雅黑" w:hAnsi="微软雅黑" w:eastAsia="微软雅黑" w:cs="Arial"/>
          <w:szCs w:val="21"/>
        </w:rPr>
      </w:pPr>
      <w:r>
        <w:rPr>
          <w:rFonts w:ascii="微软雅黑" w:hAnsi="微软雅黑" w:eastAsia="微软雅黑" w:cs="Arial"/>
          <w:szCs w:val="21"/>
        </w:rPr>
        <w:t>10.</w:t>
      </w:r>
      <w:r>
        <w:rPr>
          <w:rFonts w:hint="eastAsia" w:ascii="微软雅黑" w:hAnsi="微软雅黑" w:eastAsia="微软雅黑" w:cs="Arial"/>
          <w:szCs w:val="21"/>
        </w:rPr>
        <w:t>4</w:t>
      </w:r>
      <w:r>
        <w:rPr>
          <w:rFonts w:ascii="微软雅黑" w:hAnsi="微软雅黑" w:eastAsia="微软雅黑" w:cs="Arial"/>
          <w:szCs w:val="21"/>
        </w:rPr>
        <w:t xml:space="preserve"> </w:t>
      </w:r>
      <w:r>
        <w:rPr>
          <w:rFonts w:hint="eastAsia" w:ascii="微软雅黑" w:hAnsi="微软雅黑" w:eastAsia="微软雅黑" w:cs="Arial"/>
          <w:szCs w:val="21"/>
        </w:rPr>
        <w:t>除本协议另有约定外，本协议项下违约金一经支付，即构成对违约金收取一方的完整补偿，收取违约金的一方不得再向对方提出任何进一步金额的主张。</w:t>
      </w:r>
    </w:p>
    <w:p w14:paraId="59040795">
      <w:pPr>
        <w:snapToGrid w:val="0"/>
        <w:spacing w:line="360" w:lineRule="auto"/>
        <w:ind w:left="567" w:hanging="567" w:hangingChars="270"/>
        <w:rPr>
          <w:rFonts w:ascii="微软雅黑" w:hAnsi="微软雅黑" w:eastAsia="微软雅黑" w:cs="Arial"/>
          <w:szCs w:val="21"/>
        </w:rPr>
      </w:pPr>
      <w:r>
        <w:rPr>
          <w:rFonts w:ascii="微软雅黑" w:hAnsi="微软雅黑" w:eastAsia="微软雅黑" w:cs="Arial"/>
          <w:szCs w:val="21"/>
        </w:rPr>
        <w:t>10.</w:t>
      </w:r>
      <w:r>
        <w:rPr>
          <w:rFonts w:hint="eastAsia" w:ascii="微软雅黑" w:hAnsi="微软雅黑" w:eastAsia="微软雅黑" w:cs="Arial"/>
          <w:szCs w:val="21"/>
        </w:rPr>
        <w:t>5</w:t>
      </w:r>
      <w:r>
        <w:rPr>
          <w:rFonts w:ascii="微软雅黑" w:hAnsi="微软雅黑" w:eastAsia="微软雅黑" w:cs="Arial"/>
          <w:szCs w:val="21"/>
        </w:rPr>
        <w:t xml:space="preserve"> </w:t>
      </w:r>
      <w:r>
        <w:rPr>
          <w:rFonts w:hint="eastAsia" w:ascii="微软雅黑" w:hAnsi="微软雅黑" w:eastAsia="微软雅黑" w:cs="Arial"/>
          <w:szCs w:val="21"/>
        </w:rPr>
        <w:t>乙方在本协议下承担的违约金、赔偿金等，不应超过乙方在本合同下实际收取的服务费总额。</w:t>
      </w:r>
    </w:p>
    <w:p w14:paraId="0783AD9C">
      <w:pPr>
        <w:snapToGrid w:val="0"/>
        <w:spacing w:line="360" w:lineRule="auto"/>
        <w:rPr>
          <w:rFonts w:ascii="微软雅黑" w:hAnsi="微软雅黑" w:eastAsia="微软雅黑" w:cs="Arial"/>
          <w:szCs w:val="21"/>
        </w:rPr>
      </w:pPr>
    </w:p>
    <w:p w14:paraId="1E1D7442">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第十一条、如发生下列情况之一，本合同可以变更或终止：</w:t>
      </w:r>
    </w:p>
    <w:p w14:paraId="039FEB9A">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（一）双方协商一致，同意变更或终止合同；</w:t>
      </w:r>
    </w:p>
    <w:p w14:paraId="50E49A7B">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（二）一方在约定期限内没有履行合同，在被允许延迟履行的合理期限内仍未履行合同，则另一方有权以书面通知的方式单方解除合同；</w:t>
      </w:r>
    </w:p>
    <w:p w14:paraId="057712E1">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（三）一方违反合同的约定，在被书面通知更正其违约行为的期限内仍未更正，则另一方有权以书面通知的方式单方解除合同；</w:t>
      </w:r>
    </w:p>
    <w:p w14:paraId="63DEF06A">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（四）如遇不可抗力事件，且不可抗力持续超过60日的，则任何一方可书面通知对方解除合同；</w:t>
      </w:r>
    </w:p>
    <w:p w14:paraId="4FF5D7DF">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（五）一方遭遇破产、被兼并、被清算或其它资信严重受损的情形，则另一方有权提前7日书面通知解除本合同；</w:t>
      </w:r>
    </w:p>
    <w:p w14:paraId="132B982C">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（六）法律规定的其它情形。</w:t>
      </w:r>
    </w:p>
    <w:p w14:paraId="76EC7A78">
      <w:pPr>
        <w:snapToGrid w:val="0"/>
        <w:spacing w:line="360" w:lineRule="auto"/>
        <w:rPr>
          <w:rFonts w:ascii="微软雅黑" w:hAnsi="微软雅黑" w:eastAsia="微软雅黑" w:cs="Arial"/>
          <w:szCs w:val="21"/>
        </w:rPr>
      </w:pPr>
    </w:p>
    <w:p w14:paraId="39DF7D9B">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第十二条、不可抗力：</w:t>
      </w:r>
    </w:p>
    <w:p w14:paraId="0D75BB10">
      <w:pPr>
        <w:snapToGrid w:val="0"/>
        <w:spacing w:line="360" w:lineRule="auto"/>
        <w:ind w:left="708" w:hanging="707" w:hangingChars="337"/>
        <w:rPr>
          <w:rFonts w:ascii="微软雅黑" w:hAnsi="微软雅黑" w:eastAsia="微软雅黑" w:cs="Arial"/>
          <w:szCs w:val="21"/>
        </w:rPr>
      </w:pPr>
      <w:r>
        <w:rPr>
          <w:rFonts w:hint="eastAsia" w:ascii="微软雅黑" w:hAnsi="微软雅黑" w:eastAsia="微软雅黑" w:cs="Arial"/>
          <w:szCs w:val="21"/>
        </w:rPr>
        <w:t>12.1  本合同有效期内，因水灾、地震、海啸等自然灾害、疫情、火灾、战争、罢工或国家法律政策变更等人力不可抗拒的因素，造成本合同及其补充协议内容部分或全部不能履行，双方应协商延期履行或解除合同。</w:t>
      </w:r>
    </w:p>
    <w:p w14:paraId="6FA7E047">
      <w:pPr>
        <w:widowControl/>
        <w:jc w:val="left"/>
        <w:rPr>
          <w:rFonts w:ascii="微软雅黑" w:hAnsi="微软雅黑" w:eastAsia="微软雅黑" w:cs="Arial"/>
          <w:b/>
          <w:bCs/>
          <w:szCs w:val="21"/>
        </w:rPr>
      </w:pPr>
    </w:p>
    <w:p w14:paraId="0645248B">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t>第十三条、通知和联系人</w:t>
      </w:r>
    </w:p>
    <w:p w14:paraId="4E90CE5F">
      <w:pPr>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13.1 甲、乙方发送通知的方法，如用传真、电子邮件通知时，凡涉及双方权利、义务的，应随之以书面形式通知</w:t>
      </w:r>
      <w:r>
        <w:rPr>
          <w:rFonts w:hint="eastAsia" w:ascii="微软雅黑" w:hAnsi="微软雅黑" w:eastAsia="微软雅黑"/>
          <w:szCs w:val="21"/>
        </w:rPr>
        <w:t>，</w:t>
      </w:r>
      <w:r>
        <w:rPr>
          <w:rFonts w:hint="eastAsia" w:ascii="微软雅黑" w:hAnsi="微软雅黑" w:eastAsia="微软雅黑" w:cs="Arial"/>
          <w:szCs w:val="21"/>
        </w:rPr>
        <w:t>并以双方盖章并由法定代表人或指定的授权委托人签字确认为准。合同中所列的联系方式即为双方有效的联系方式，如若更改，须及时用书面通知对方。凡按各方最后地址等联系方式送达的通知或其他有关文件均视为有效送达。</w:t>
      </w:r>
    </w:p>
    <w:p w14:paraId="6513210F">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13.2 以专人递送时，签收日即为有效送达日，以邮寄方式递送时，以投递之日起第三日视为已送达。</w:t>
      </w:r>
    </w:p>
    <w:p w14:paraId="17BB32CE">
      <w:pPr>
        <w:snapToGrid w:val="0"/>
        <w:spacing w:line="360" w:lineRule="auto"/>
        <w:ind w:left="567" w:hanging="567" w:hangingChars="270"/>
        <w:rPr>
          <w:rFonts w:ascii="微软雅黑" w:hAnsi="微软雅黑" w:eastAsia="微软雅黑" w:cs="Arial"/>
          <w:szCs w:val="21"/>
        </w:rPr>
      </w:pPr>
      <w:r>
        <w:rPr>
          <w:rFonts w:hint="eastAsia" w:ascii="微软雅黑" w:hAnsi="微软雅黑" w:eastAsia="微软雅黑" w:cs="Arial"/>
          <w:szCs w:val="21"/>
        </w:rPr>
        <w:t>13.3  甲方指定联系人：【</w:t>
      </w: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】；联系方式：【</w:t>
      </w: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】；电子邮件：【</w:t>
      </w: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w:t>
      </w:r>
    </w:p>
    <w:p w14:paraId="733FE632">
      <w:pPr>
        <w:snapToGrid w:val="0"/>
        <w:spacing w:line="360" w:lineRule="auto"/>
        <w:ind w:firstLine="630" w:firstLineChars="300"/>
        <w:rPr>
          <w:rFonts w:ascii="微软雅黑" w:hAnsi="微软雅黑" w:eastAsia="微软雅黑" w:cs="Arial"/>
          <w:szCs w:val="21"/>
        </w:rPr>
      </w:pPr>
      <w:r>
        <w:rPr>
          <w:rFonts w:hint="eastAsia" w:ascii="微软雅黑" w:hAnsi="微软雅黑" w:eastAsia="微软雅黑" w:cs="Arial"/>
          <w:szCs w:val="21"/>
        </w:rPr>
        <w:t>乙方指定联系人：【</w:t>
      </w: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】；联系方式：【</w:t>
      </w: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】；电子邮件：</w:t>
      </w:r>
      <w:r>
        <w:rPr>
          <w:rFonts w:hint="eastAsia" w:ascii="微软雅黑" w:hAnsi="微软雅黑" w:eastAsia="微软雅黑" w:cs="Arial"/>
          <w:szCs w:val="21"/>
          <w:lang w:val="en-US" w:eastAsia="zh-CN"/>
        </w:rPr>
        <w:tab/>
      </w:r>
      <w:r>
        <w:rPr>
          <w:rFonts w:hint="eastAsia" w:ascii="微软雅黑" w:hAnsi="微软雅黑" w:eastAsia="微软雅黑" w:cs="Arial"/>
          <w:szCs w:val="21"/>
        </w:rPr>
        <w:t>【</w:t>
      </w: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w:t>
      </w:r>
    </w:p>
    <w:p w14:paraId="3FDEE0C5">
      <w:pPr>
        <w:snapToGrid w:val="0"/>
        <w:spacing w:line="360" w:lineRule="auto"/>
        <w:rPr>
          <w:rFonts w:ascii="微软雅黑" w:hAnsi="微软雅黑" w:eastAsia="微软雅黑" w:cs="Arial"/>
          <w:szCs w:val="21"/>
        </w:rPr>
      </w:pPr>
      <w:r>
        <w:rPr>
          <w:rFonts w:hint="eastAsia" w:ascii="微软雅黑" w:hAnsi="微软雅黑" w:eastAsia="微软雅黑" w:cs="Arial"/>
          <w:szCs w:val="21"/>
        </w:rPr>
        <w:t>13.4  甲方指定送达地址：</w:t>
      </w:r>
    </w:p>
    <w:p w14:paraId="44372892">
      <w:pPr>
        <w:snapToGrid w:val="0"/>
        <w:spacing w:line="360" w:lineRule="auto"/>
        <w:ind w:firstLine="638" w:firstLineChars="304"/>
        <w:rPr>
          <w:rFonts w:hint="default" w:ascii="微软雅黑" w:hAnsi="微软雅黑" w:eastAsia="微软雅黑" w:cs="Arial"/>
          <w:szCs w:val="21"/>
          <w:lang w:val="en-US" w:eastAsia="zh-CN"/>
        </w:rPr>
      </w:pPr>
      <w:r>
        <w:rPr>
          <w:rFonts w:hint="eastAsia" w:ascii="微软雅黑" w:hAnsi="微软雅黑" w:eastAsia="微软雅黑" w:cs="Arial"/>
          <w:szCs w:val="21"/>
        </w:rPr>
        <w:t>乙方指定送达地址：</w:t>
      </w:r>
      <w:r>
        <w:rPr>
          <w:rFonts w:hint="eastAsia" w:ascii="微软雅黑" w:hAnsi="微软雅黑" w:eastAsia="微软雅黑" w:cs="Arial"/>
          <w:szCs w:val="21"/>
          <w:lang w:val="en-US" w:eastAsia="zh-CN"/>
        </w:rPr>
        <w:t xml:space="preserve">    </w:t>
      </w:r>
    </w:p>
    <w:p w14:paraId="72E9061B">
      <w:pPr>
        <w:snapToGrid w:val="0"/>
        <w:spacing w:line="360" w:lineRule="auto"/>
        <w:rPr>
          <w:rFonts w:ascii="微软雅黑" w:hAnsi="微软雅黑" w:eastAsia="微软雅黑" w:cs="Arial"/>
          <w:b/>
          <w:bCs/>
          <w:szCs w:val="21"/>
        </w:rPr>
      </w:pPr>
    </w:p>
    <w:p w14:paraId="4D7AEA4B">
      <w:pPr>
        <w:numPr>
          <w:ilvl w:val="0"/>
          <w:numId w:val="6"/>
        </w:numPr>
        <w:snapToGrid w:val="0"/>
        <w:spacing w:line="360" w:lineRule="auto"/>
        <w:rPr>
          <w:rFonts w:hint="eastAsia" w:ascii="微软雅黑" w:hAnsi="微软雅黑" w:eastAsia="微软雅黑" w:cs="Arial"/>
          <w:bCs/>
          <w:szCs w:val="21"/>
        </w:rPr>
      </w:pPr>
      <w:r>
        <w:rPr>
          <w:rFonts w:hint="eastAsia" w:ascii="微软雅黑" w:hAnsi="微软雅黑" w:eastAsia="微软雅黑" w:cs="Arial"/>
          <w:bCs/>
          <w:szCs w:val="21"/>
        </w:rPr>
        <w:t>本合同自甲乙双方法定代表人或授权代表签字或签章，并加盖公章后生效。本合同</w:t>
      </w:r>
      <w:bookmarkStart w:id="9" w:name="_Hlk45533647"/>
      <w:r>
        <w:rPr>
          <w:rFonts w:hint="eastAsia" w:ascii="微软雅黑" w:hAnsi="微软雅黑" w:eastAsia="微软雅黑" w:cs="Arial"/>
          <w:bCs/>
          <w:szCs w:val="21"/>
        </w:rPr>
        <w:t>一式肆份，双方各执贰份</w:t>
      </w:r>
      <w:bookmarkEnd w:id="9"/>
      <w:r>
        <w:rPr>
          <w:rFonts w:hint="eastAsia" w:ascii="微软雅黑" w:hAnsi="微软雅黑" w:eastAsia="微软雅黑" w:cs="Arial"/>
          <w:bCs/>
          <w:szCs w:val="21"/>
        </w:rPr>
        <w:t>，具有同等法律效力。</w:t>
      </w:r>
    </w:p>
    <w:p w14:paraId="06F2C035">
      <w:pPr>
        <w:snapToGrid w:val="0"/>
        <w:spacing w:line="360" w:lineRule="auto"/>
        <w:rPr>
          <w:rFonts w:ascii="微软雅黑" w:hAnsi="微软雅黑" w:eastAsia="微软雅黑" w:cs="Arial"/>
          <w:b/>
          <w:bCs/>
          <w:szCs w:val="21"/>
        </w:rPr>
      </w:pPr>
      <w:r>
        <w:rPr>
          <w:rFonts w:hint="eastAsia" w:ascii="微软雅黑" w:hAnsi="微软雅黑" w:eastAsia="微软雅黑" w:cs="Arial"/>
          <w:b/>
          <w:bCs/>
          <w:szCs w:val="21"/>
        </w:rPr>
        <w:br w:type="page"/>
      </w:r>
      <w:r>
        <w:rPr>
          <w:rFonts w:hint="eastAsia" w:ascii="微软雅黑" w:hAnsi="微软雅黑" w:eastAsia="微软雅黑" w:cs="Arial"/>
          <w:b/>
          <w:bCs/>
          <w:szCs w:val="21"/>
        </w:rPr>
        <w:t>（以下无正文，为本合同签署栏）</w:t>
      </w:r>
    </w:p>
    <w:p w14:paraId="25D4E448">
      <w:pPr>
        <w:snapToGrid w:val="0"/>
        <w:spacing w:line="360" w:lineRule="auto"/>
        <w:rPr>
          <w:rFonts w:ascii="微软雅黑" w:hAnsi="微软雅黑" w:eastAsia="微软雅黑" w:cs="Arial"/>
          <w:bCs/>
          <w:szCs w:val="21"/>
        </w:rPr>
      </w:pPr>
    </w:p>
    <w:p w14:paraId="2B8406F8">
      <w:pPr>
        <w:spacing w:line="360" w:lineRule="auto"/>
        <w:textAlignment w:val="top"/>
        <w:rPr>
          <w:rFonts w:ascii="微软雅黑" w:hAnsi="微软雅黑" w:eastAsia="微软雅黑" w:cs="Arial"/>
          <w:b/>
          <w:bCs/>
          <w:szCs w:val="21"/>
        </w:rPr>
      </w:pPr>
      <w:r>
        <w:rPr>
          <w:rFonts w:hint="eastAsia" w:ascii="微软雅黑" w:hAnsi="微软雅黑" w:eastAsia="微软雅黑" w:cs="Arial"/>
          <w:b/>
          <w:bCs/>
          <w:szCs w:val="21"/>
        </w:rPr>
        <w:t>甲方（盖章）：广州市城壹房地产顾问有限公司</w:t>
      </w:r>
    </w:p>
    <w:p w14:paraId="1B0F50F8">
      <w:pPr>
        <w:spacing w:line="360" w:lineRule="auto"/>
        <w:textAlignment w:val="top"/>
        <w:rPr>
          <w:rFonts w:ascii="微软雅黑" w:hAnsi="微软雅黑" w:eastAsia="微软雅黑" w:cs="Arial"/>
          <w:b/>
          <w:bCs/>
          <w:szCs w:val="21"/>
        </w:rPr>
      </w:pPr>
      <w:r>
        <w:rPr>
          <w:rFonts w:hint="eastAsia" w:ascii="微软雅黑" w:hAnsi="微软雅黑" w:eastAsia="微软雅黑" w:cs="Arial"/>
          <w:b/>
          <w:bCs/>
          <w:szCs w:val="21"/>
        </w:rPr>
        <w:t>法定代表人或授权代表（签字或签章）：</w:t>
      </w:r>
    </w:p>
    <w:p w14:paraId="01424317">
      <w:pPr>
        <w:tabs>
          <w:tab w:val="left" w:pos="6564"/>
        </w:tabs>
        <w:spacing w:line="360" w:lineRule="auto"/>
        <w:textAlignment w:val="top"/>
        <w:rPr>
          <w:rFonts w:ascii="微软雅黑" w:hAnsi="微软雅黑" w:eastAsia="微软雅黑" w:cs="Arial"/>
          <w:b/>
          <w:bCs/>
          <w:szCs w:val="21"/>
        </w:rPr>
      </w:pPr>
      <w:r>
        <w:rPr>
          <w:rFonts w:hint="eastAsia" w:ascii="微软雅黑" w:hAnsi="微软雅黑" w:eastAsia="微软雅黑" w:cs="Arial"/>
          <w:b/>
          <w:bCs/>
          <w:szCs w:val="21"/>
        </w:rPr>
        <w:t>签订日期：      年     月     日</w:t>
      </w:r>
    </w:p>
    <w:p w14:paraId="03F3F2C2">
      <w:pPr>
        <w:tabs>
          <w:tab w:val="left" w:pos="6564"/>
        </w:tabs>
        <w:spacing w:line="360" w:lineRule="auto"/>
        <w:textAlignment w:val="top"/>
        <w:rPr>
          <w:rFonts w:ascii="微软雅黑" w:hAnsi="微软雅黑" w:eastAsia="微软雅黑" w:cs="Arial"/>
          <w:b/>
          <w:bCs/>
          <w:szCs w:val="21"/>
        </w:rPr>
      </w:pPr>
    </w:p>
    <w:p w14:paraId="08CDE261">
      <w:pPr>
        <w:tabs>
          <w:tab w:val="left" w:pos="6564"/>
        </w:tabs>
        <w:spacing w:line="360" w:lineRule="auto"/>
        <w:textAlignment w:val="top"/>
        <w:rPr>
          <w:rFonts w:ascii="微软雅黑" w:hAnsi="微软雅黑" w:eastAsia="微软雅黑" w:cs="Arial"/>
          <w:b/>
          <w:bCs/>
          <w:szCs w:val="21"/>
        </w:rPr>
      </w:pPr>
      <w:r>
        <w:rPr>
          <w:rFonts w:hint="eastAsia" w:ascii="微软雅黑" w:hAnsi="微软雅黑" w:eastAsia="微软雅黑" w:cs="Arial"/>
          <w:b/>
          <w:bCs/>
          <w:szCs w:val="21"/>
        </w:rPr>
        <w:t>乙方（盖章）：</w:t>
      </w:r>
    </w:p>
    <w:p w14:paraId="69B642A1">
      <w:pPr>
        <w:tabs>
          <w:tab w:val="left" w:pos="6564"/>
        </w:tabs>
        <w:spacing w:line="360" w:lineRule="auto"/>
        <w:textAlignment w:val="top"/>
        <w:rPr>
          <w:rFonts w:ascii="微软雅黑" w:hAnsi="微软雅黑" w:eastAsia="微软雅黑" w:cs="Arial"/>
          <w:b/>
          <w:bCs/>
          <w:szCs w:val="21"/>
        </w:rPr>
      </w:pPr>
      <w:r>
        <w:rPr>
          <w:rFonts w:hint="eastAsia" w:ascii="微软雅黑" w:hAnsi="微软雅黑" w:eastAsia="微软雅黑" w:cs="Arial"/>
          <w:b/>
          <w:bCs/>
          <w:szCs w:val="21"/>
        </w:rPr>
        <w:t>法定代表人或授权代表（签字或签章）：</w:t>
      </w:r>
    </w:p>
    <w:p w14:paraId="5F7172C2">
      <w:pPr>
        <w:tabs>
          <w:tab w:val="left" w:pos="6564"/>
        </w:tabs>
        <w:spacing w:line="360" w:lineRule="auto"/>
        <w:textAlignment w:val="top"/>
        <w:rPr>
          <w:rFonts w:ascii="微软雅黑" w:hAnsi="微软雅黑" w:eastAsia="微软雅黑" w:cs="Arial"/>
          <w:b/>
          <w:bCs/>
          <w:szCs w:val="21"/>
        </w:rPr>
      </w:pPr>
      <w:r>
        <w:rPr>
          <w:rFonts w:hint="eastAsia" w:ascii="微软雅黑" w:hAnsi="微软雅黑" w:eastAsia="微软雅黑" w:cs="Arial"/>
          <w:b/>
          <w:bCs/>
          <w:szCs w:val="21"/>
        </w:rPr>
        <w:t>签订日期：      年     月     日</w:t>
      </w:r>
    </w:p>
    <w:p w14:paraId="57CB88D4">
      <w:r>
        <w:br w:type="page"/>
      </w:r>
    </w:p>
    <w:p w14:paraId="2423DCB4">
      <w:pPr>
        <w:jc w:val="center"/>
        <w:rPr>
          <w:rFonts w:ascii="微软雅黑" w:hAnsi="微软雅黑" w:eastAsia="微软雅黑" w:cs="微软雅黑"/>
          <w:b/>
          <w:bCs/>
          <w:szCs w:val="21"/>
        </w:rPr>
      </w:pPr>
      <w:r>
        <w:rPr>
          <w:rFonts w:hint="eastAsia" w:ascii="微软雅黑" w:hAnsi="微软雅黑" w:eastAsia="微软雅黑" w:cs="微软雅黑"/>
          <w:b/>
          <w:bCs/>
          <w:sz w:val="36"/>
          <w:szCs w:val="36"/>
        </w:rPr>
        <w:t>廉洁协议</w:t>
      </w:r>
    </w:p>
    <w:p w14:paraId="7FE5B37A">
      <w:pPr>
        <w:rPr>
          <w:rFonts w:ascii="微软雅黑" w:hAnsi="微软雅黑" w:eastAsia="微软雅黑" w:cs="微软雅黑"/>
          <w:szCs w:val="21"/>
        </w:rPr>
      </w:pPr>
      <w:r>
        <w:rPr>
          <w:rFonts w:hint="eastAsia" w:ascii="微软雅黑" w:hAnsi="微软雅黑" w:eastAsia="微软雅黑" w:cs="微软雅黑"/>
          <w:szCs w:val="21"/>
        </w:rPr>
        <w:t>甲方：广州市城壹房地产顾问有限公司</w:t>
      </w:r>
    </w:p>
    <w:p w14:paraId="0295855B">
      <w:pPr>
        <w:rPr>
          <w:rFonts w:ascii="微软雅黑" w:hAnsi="微软雅黑" w:eastAsia="微软雅黑" w:cs="微软雅黑"/>
          <w:szCs w:val="21"/>
        </w:rPr>
      </w:pPr>
      <w:r>
        <w:rPr>
          <w:rFonts w:hint="eastAsia" w:ascii="微软雅黑" w:hAnsi="微软雅黑" w:eastAsia="微软雅黑" w:cs="微软雅黑"/>
          <w:szCs w:val="21"/>
        </w:rPr>
        <w:t>乙方：</w:t>
      </w:r>
    </w:p>
    <w:p w14:paraId="6D6EF74F">
      <w:pPr>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为保障甲方和乙方在业务往来中的合法权益，促进企业党风建设、廉洁从业，预防商业贿赂和不正当竞争，按照《中华人民共和国民法典》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14:paraId="63CAA2F6">
      <w:pPr>
        <w:rPr>
          <w:rFonts w:ascii="微软雅黑" w:hAnsi="微软雅黑" w:eastAsia="微软雅黑" w:cs="微软雅黑"/>
          <w:szCs w:val="21"/>
        </w:rPr>
      </w:pPr>
      <w:r>
        <w:rPr>
          <w:rFonts w:hint="eastAsia" w:ascii="微软雅黑" w:hAnsi="微软雅黑" w:eastAsia="微软雅黑" w:cs="微软雅黑"/>
          <w:szCs w:val="21"/>
        </w:rPr>
        <w:t>第一条 甲乙双方责任</w:t>
      </w:r>
    </w:p>
    <w:p w14:paraId="4A50C403">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（一）严格遵守国家法律法规和廉洁从业规定以及相关行业行风建设的纪律和规定。</w:t>
      </w:r>
    </w:p>
    <w:p w14:paraId="4CD04C52">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（二）严格执行合同，自觉按合同办事。</w:t>
      </w:r>
    </w:p>
    <w:p w14:paraId="27307E65">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（三）双方的业务活动必须坚持公开、公平、公正、诚信、透明的原则（法律法规另有规定或双方约定除外），不得损害国家和企业利益。</w:t>
      </w:r>
    </w:p>
    <w:p w14:paraId="1C60D785">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（四）发现对方在业务活动中有违反廉洁从业规定或本协议约定的行为，应及时提醒和纠正对方。</w:t>
      </w:r>
    </w:p>
    <w:p w14:paraId="7481365F">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（五）发现对方在业务活动中有严重违反廉洁从业规定的行为，有权向对方主管部门或有关部门举报。</w:t>
      </w:r>
    </w:p>
    <w:p w14:paraId="1DF6B715">
      <w:pPr>
        <w:rPr>
          <w:rFonts w:ascii="微软雅黑" w:hAnsi="微软雅黑" w:eastAsia="微软雅黑" w:cs="微软雅黑"/>
          <w:szCs w:val="21"/>
        </w:rPr>
      </w:pPr>
      <w:r>
        <w:rPr>
          <w:rFonts w:hint="eastAsia" w:ascii="微软雅黑" w:hAnsi="微软雅黑" w:eastAsia="微软雅黑" w:cs="微软雅黑"/>
          <w:szCs w:val="21"/>
        </w:rPr>
        <w:t>第二条  甲方应遵守下列条款</w:t>
      </w:r>
    </w:p>
    <w:p w14:paraId="3482A36C">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（一）甲方、甲方工作人员及其亲属不得以暗示或任何形式向乙方索要或收受回扣、提成、现金、有价证券、支付凭证和贵重礼品等财物。</w:t>
      </w:r>
    </w:p>
    <w:p w14:paraId="0FB2F0F7">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（二）甲方及其工作人员不得参加乙方安排的宴请（工作餐除外）、娱乐活动、高档消费；不得接受乙方向甲方及其工作人员提供的通信工具、交通工具和高档办公用品等物品。</w:t>
      </w:r>
    </w:p>
    <w:p w14:paraId="0C9C82E6">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（三）甲方及其工作人员不得以任何理由要求、暗示或接受乙方和相关单位为其在度假、出国（出境）旅游、婚丧嫁娶、住房装修、配偶子女等亲属工作安排等方面提供方便。</w:t>
      </w:r>
    </w:p>
    <w:p w14:paraId="45706768">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（四）甲方工作人员不得在乙方报销应由甲方或个人支付的任何费用。</w:t>
      </w:r>
    </w:p>
    <w:p w14:paraId="3817A1A1">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（五）甲方工作人员及其配偶、子女及其他特定关系人不得以个人借用（包含甲方借给乙方或乙方借给甲方）等名义与乙方或乙方工作人员发生现金、房屋、交通工具和贵重物品往来。</w:t>
      </w:r>
    </w:p>
    <w:p w14:paraId="43B0C0B2">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（六）如果乙方向甲方工作人员提供第三条第（一）至（五）款所指的内容，甲方工作人员应拒绝对方；对于无法拒绝的，应及时向甲方纪检部门举报。</w:t>
      </w:r>
    </w:p>
    <w:p w14:paraId="53F25145">
      <w:pPr>
        <w:rPr>
          <w:rFonts w:ascii="微软雅黑" w:hAnsi="微软雅黑" w:eastAsia="微软雅黑" w:cs="微软雅黑"/>
          <w:szCs w:val="21"/>
        </w:rPr>
      </w:pPr>
      <w:r>
        <w:rPr>
          <w:rFonts w:hint="eastAsia" w:ascii="微软雅黑" w:hAnsi="微软雅黑" w:eastAsia="微软雅黑" w:cs="微软雅黑"/>
          <w:szCs w:val="21"/>
        </w:rPr>
        <w:t>第三条 乙方应遵守下列条款</w:t>
      </w:r>
    </w:p>
    <w:p w14:paraId="0B487F8C">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（一）乙方不得以任何形式向甲方及其工作人员馈赠现金、有价证券、支付凭证和贵重礼品等财物。</w:t>
      </w:r>
    </w:p>
    <w:p w14:paraId="3509E74B">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（二）乙方不得以任何理由邀请甲方工作人员参加有可能影响业务活动的宴请及娱乐活动；不得为甲方及其工作人员提供的通信工具、交通工具和高档办公用品等物品。</w:t>
      </w:r>
    </w:p>
    <w:p w14:paraId="4B0CF77F">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（三）乙方不得为甲方工作人员在度假、出国（出境）旅游、婚丧嫁娶、住房装修、配偶子女等亲属工作安排等方面提供方便。</w:t>
      </w:r>
    </w:p>
    <w:p w14:paraId="153E0D3A">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（四）乙方不得以任何名义为甲方工作人员及其亲属支付应由个人支付的各种费用。</w:t>
      </w:r>
    </w:p>
    <w:p w14:paraId="364A52BE">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（五）乙方或乙方工作人员不得以借用（包含甲方借给乙方或乙方借给甲方）等名义与甲方工作人员及其配偶、子女及其他特定关系人发生现金、房屋、交通工具和贵重物品往来。</w:t>
      </w:r>
    </w:p>
    <w:p w14:paraId="29438709">
      <w:pPr>
        <w:ind w:left="630" w:hanging="630" w:hangingChars="300"/>
        <w:rPr>
          <w:rFonts w:ascii="微软雅黑" w:hAnsi="微软雅黑" w:eastAsia="微软雅黑" w:cs="微软雅黑"/>
          <w:szCs w:val="21"/>
        </w:rPr>
      </w:pPr>
      <w:r>
        <w:rPr>
          <w:rFonts w:hint="eastAsia" w:ascii="微软雅黑" w:hAnsi="微软雅黑" w:eastAsia="微软雅黑" w:cs="微软雅黑"/>
          <w:szCs w:val="21"/>
        </w:rPr>
        <w:t>（六）甲方工作人员主动向乙方索要或要求乙方安排和提供第三条（一）至（五）款所指的内容，乙方应予以拒绝，并向甲方纪检部门及时举报。</w:t>
      </w:r>
    </w:p>
    <w:p w14:paraId="69097F9D">
      <w:pPr>
        <w:rPr>
          <w:rFonts w:ascii="微软雅黑" w:hAnsi="微软雅黑" w:eastAsia="微软雅黑" w:cs="微软雅黑"/>
          <w:szCs w:val="21"/>
        </w:rPr>
      </w:pPr>
      <w:r>
        <w:rPr>
          <w:rFonts w:hint="eastAsia" w:ascii="微软雅黑" w:hAnsi="微软雅黑" w:eastAsia="微软雅黑" w:cs="微软雅黑"/>
          <w:szCs w:val="21"/>
        </w:rPr>
        <w:t>第四条 违约责任</w:t>
      </w:r>
    </w:p>
    <w:p w14:paraId="4912D460">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 xml:space="preserve">甲乙双方工作人员如违反本协议，按照管理权限，依据有关法律法规和相关规定给予党纪、政纪处分或组织处理；涉嫌犯罪的，移交司法机关追究刑事责任；给对方单位造成经济损失的，应予以赔偿。                                           </w:t>
      </w:r>
    </w:p>
    <w:p w14:paraId="3FFABE9F">
      <w:pPr>
        <w:rPr>
          <w:rFonts w:ascii="微软雅黑" w:hAnsi="微软雅黑" w:eastAsia="微软雅黑" w:cs="微软雅黑"/>
          <w:szCs w:val="21"/>
        </w:rPr>
      </w:pPr>
      <w:r>
        <w:rPr>
          <w:rFonts w:hint="eastAsia" w:ascii="微软雅黑" w:hAnsi="微软雅黑" w:eastAsia="微软雅黑" w:cs="微软雅黑"/>
          <w:szCs w:val="21"/>
        </w:rPr>
        <w:t>第五条 如甲乙双方有违反国家法律法规和廉洁从业规定的其他行为，参照本协议约定执行。</w:t>
      </w:r>
    </w:p>
    <w:p w14:paraId="6A1E7EA1">
      <w:pPr>
        <w:rPr>
          <w:rFonts w:ascii="微软雅黑" w:hAnsi="微软雅黑" w:eastAsia="微软雅黑" w:cs="微软雅黑"/>
          <w:szCs w:val="21"/>
        </w:rPr>
      </w:pPr>
      <w:r>
        <w:rPr>
          <w:rFonts w:hint="eastAsia" w:ascii="微软雅黑" w:hAnsi="微软雅黑" w:eastAsia="微软雅黑" w:cs="微软雅黑"/>
          <w:szCs w:val="21"/>
        </w:rPr>
        <w:t>第六条 本协议经双方盖章后生效，一式肆份，甲乙方各执贰份，具有同等法律效力。</w:t>
      </w:r>
    </w:p>
    <w:p w14:paraId="68EB6725">
      <w:pPr>
        <w:rPr>
          <w:rFonts w:ascii="微软雅黑" w:hAnsi="微软雅黑" w:eastAsia="微软雅黑" w:cs="微软雅黑"/>
          <w:szCs w:val="21"/>
        </w:rPr>
      </w:pPr>
      <w:r>
        <w:rPr>
          <w:rFonts w:hint="eastAsia" w:ascii="微软雅黑" w:hAnsi="微软雅黑" w:eastAsia="微软雅黑" w:cs="微软雅黑"/>
          <w:szCs w:val="21"/>
        </w:rPr>
        <w:t>甲方：                          乙方：</w:t>
      </w:r>
    </w:p>
    <w:p w14:paraId="13B05195">
      <w:pPr>
        <w:spacing w:after="200" w:line="360" w:lineRule="auto"/>
        <w:rPr>
          <w:rFonts w:ascii="微软雅黑" w:hAnsi="微软雅黑" w:eastAsia="微软雅黑" w:cs="微软雅黑"/>
          <w:b/>
          <w:szCs w:val="21"/>
        </w:rPr>
      </w:pPr>
      <w:r>
        <w:rPr>
          <w:rFonts w:hint="eastAsia" w:ascii="微软雅黑" w:hAnsi="微软雅黑" w:eastAsia="微软雅黑" w:cs="微软雅黑"/>
          <w:szCs w:val="21"/>
        </w:rPr>
        <w:t>日期：                          日期:</w:t>
      </w:r>
    </w:p>
    <w:p w14:paraId="0076FA75"/>
    <w:p w14:paraId="46114697">
      <w:pPr>
        <w:tabs>
          <w:tab w:val="left" w:pos="631"/>
        </w:tabs>
        <w:jc w:val="left"/>
        <w:rPr>
          <w:rFonts w:ascii="微软雅黑" w:hAnsi="微软雅黑" w:eastAsia="微软雅黑" w:cs="微软雅黑"/>
          <w:szCs w:val="21"/>
        </w:rPr>
      </w:pPr>
    </w:p>
    <w:p w14:paraId="2EC3C1E0"/>
    <w:p w14:paraId="5E4D42FF"/>
    <w:p w14:paraId="30D7DED7">
      <w:pPr>
        <w:rPr>
          <w:rFonts w:ascii="微软雅黑" w:hAnsi="微软雅黑" w:eastAsia="微软雅黑" w:cs="微软雅黑"/>
          <w:sz w:val="24"/>
        </w:rPr>
      </w:pPr>
    </w:p>
    <w:p w14:paraId="75CDADF4">
      <w:pPr>
        <w:tabs>
          <w:tab w:val="left" w:pos="6564"/>
        </w:tabs>
        <w:spacing w:line="360" w:lineRule="auto"/>
        <w:textAlignment w:val="top"/>
        <w:rPr>
          <w:rFonts w:ascii="微软雅黑" w:hAnsi="微软雅黑" w:eastAsia="微软雅黑" w:cs="Arial"/>
          <w:b/>
          <w:bCs/>
          <w:szCs w:val="21"/>
        </w:rPr>
      </w:pPr>
    </w:p>
    <w:p w14:paraId="6DB1EEF7">
      <w:pPr>
        <w:spacing w:after="200" w:line="360" w:lineRule="auto"/>
        <w:rPr>
          <w:rFonts w:hint="eastAsia" w:ascii="微软雅黑" w:hAnsi="微软雅黑" w:eastAsia="微软雅黑" w:cs="微软雅黑"/>
          <w:b/>
          <w:szCs w:val="21"/>
        </w:rPr>
      </w:pPr>
    </w:p>
    <w:p w14:paraId="0B257CE0">
      <w:pPr>
        <w:tabs>
          <w:tab w:val="left" w:pos="631"/>
        </w:tabs>
        <w:jc w:val="left"/>
        <w:rPr>
          <w:rFonts w:hint="eastAsia" w:ascii="微软雅黑" w:hAnsi="微软雅黑" w:eastAsia="微软雅黑" w:cs="微软雅黑"/>
          <w:szCs w:val="21"/>
        </w:rPr>
      </w:pPr>
    </w:p>
    <w:p w14:paraId="2E6D9B9F"/>
    <w:p w14:paraId="6B75DDA0"/>
    <w:p w14:paraId="2B26F724">
      <w:pPr>
        <w:jc w:val="both"/>
        <w:rPr>
          <w:rFonts w:ascii="微软雅黑" w:hAnsi="微软雅黑" w:eastAsia="微软雅黑" w:cs="微软雅黑"/>
          <w:sz w:val="24"/>
        </w:rPr>
      </w:pPr>
    </w:p>
    <w:p w14:paraId="175C8419">
      <w:pPr>
        <w:tabs>
          <w:tab w:val="left" w:pos="6564"/>
        </w:tabs>
        <w:spacing w:line="360" w:lineRule="auto"/>
        <w:textAlignment w:val="top"/>
        <w:rPr>
          <w:rFonts w:hint="default" w:ascii="微软雅黑" w:hAnsi="微软雅黑" w:eastAsia="微软雅黑" w:cs="Arial"/>
          <w:b/>
          <w:bCs/>
          <w:szCs w:val="21"/>
          <w:highlight w:val="none"/>
          <w:lang w:val="en-US" w:eastAsia="zh-CN"/>
        </w:rPr>
      </w:pPr>
    </w:p>
    <w:p w14:paraId="0A899790">
      <w:pPr>
        <w:rPr>
          <w:rFonts w:ascii="Calibri" w:hAnsi="Calibri" w:eastAsia="宋体" w:cs="Times New Roman"/>
          <w:szCs w:val="24"/>
        </w:rPr>
      </w:pPr>
      <w:r>
        <w:rPr>
          <w:rFonts w:hint="eastAsia" w:ascii="微软雅黑" w:hAnsi="微软雅黑" w:eastAsia="微软雅黑" w:cs="Arial"/>
          <w:b/>
          <w:bCs/>
          <w:szCs w:val="21"/>
        </w:rPr>
        <w:t xml:space="preserve">     </w:t>
      </w:r>
      <w:r>
        <w:rPr>
          <w:rFonts w:ascii="Calibri" w:hAnsi="Calibri" w:eastAsia="宋体" w:cs="Times New Roman"/>
          <w:szCs w:val="24"/>
        </w:rPr>
        <w:br w:type="page"/>
      </w:r>
    </w:p>
    <w:p w14:paraId="124E295E">
      <w:pPr>
        <w:tabs>
          <w:tab w:val="left" w:pos="6564"/>
        </w:tabs>
        <w:spacing w:line="360" w:lineRule="auto"/>
        <w:textAlignment w:val="top"/>
        <w:rPr>
          <w:rFonts w:ascii="Arial" w:hAnsi="Arial" w:eastAsia="黑体" w:cs="Times New Roman"/>
          <w:b/>
          <w:bCs/>
          <w:sz w:val="36"/>
          <w:szCs w:val="36"/>
        </w:rPr>
      </w:pPr>
      <w:r>
        <w:rPr>
          <w:rFonts w:hint="eastAsia" w:ascii="仿宋_GB2312" w:hAnsi="宋体" w:eastAsia="仿宋_GB2312" w:cs="宋体"/>
          <w:b/>
          <w:bCs/>
          <w:sz w:val="36"/>
          <w:szCs w:val="36"/>
        </w:rPr>
        <w:t>五、竞投文件格式</w:t>
      </w:r>
    </w:p>
    <w:p w14:paraId="4A37EAF7">
      <w:pPr>
        <w:keepNext/>
        <w:keepLines/>
        <w:spacing w:before="260" w:after="260" w:line="400" w:lineRule="exact"/>
        <w:outlineLvl w:val="1"/>
        <w:rPr>
          <w:rFonts w:ascii="仿宋_GB2312" w:hAnsi="Arial" w:eastAsia="仿宋_GB2312" w:cs="Times New Roman"/>
          <w:b/>
          <w:bCs/>
          <w:sz w:val="28"/>
          <w:szCs w:val="28"/>
        </w:rPr>
      </w:pPr>
      <w:r>
        <w:rPr>
          <w:rFonts w:hint="eastAsia" w:ascii="仿宋_GB2312" w:hAnsi="Arial" w:eastAsia="仿宋_GB2312" w:cs="Times New Roman"/>
          <w:bCs/>
          <w:sz w:val="24"/>
          <w:szCs w:val="24"/>
        </w:rPr>
        <w:t xml:space="preserve">附件1：竞投文件封面  </w:t>
      </w:r>
      <w:r>
        <w:rPr>
          <w:rFonts w:hint="eastAsia" w:ascii="仿宋_GB2312" w:hAnsi="Arial" w:eastAsia="仿宋_GB2312" w:cs="Times New Roman"/>
          <w:b/>
          <w:bCs/>
          <w:sz w:val="28"/>
          <w:szCs w:val="28"/>
        </w:rPr>
        <w:t xml:space="preserve">              </w:t>
      </w:r>
    </w:p>
    <w:p w14:paraId="148EA2E8">
      <w:pPr>
        <w:jc w:val="center"/>
        <w:rPr>
          <w:rFonts w:hint="eastAsia" w:ascii="仿宋_GB2312" w:hAnsi="Calibri" w:eastAsia="仿宋_GB2312" w:cs="Times New Roman"/>
          <w:b/>
          <w:sz w:val="52"/>
          <w:szCs w:val="52"/>
          <w:u w:val="single"/>
          <w:lang w:val="en-US" w:eastAsia="zh-CN"/>
        </w:rPr>
      </w:pPr>
      <w:r>
        <w:rPr>
          <w:rFonts w:hint="eastAsia" w:ascii="仿宋_GB2312" w:hAnsi="Calibri" w:eastAsia="仿宋_GB2312" w:cs="Times New Roman"/>
          <w:b/>
          <w:sz w:val="52"/>
          <w:szCs w:val="52"/>
          <w:u w:val="single"/>
          <w:lang w:val="en-US" w:eastAsia="zh-CN"/>
        </w:rPr>
        <w:t>花果山超高清视频产业特色小镇</w:t>
      </w:r>
    </w:p>
    <w:p w14:paraId="110385D1">
      <w:pPr>
        <w:jc w:val="center"/>
        <w:rPr>
          <w:rFonts w:hint="default" w:ascii="仿宋_GB2312" w:hAnsi="Calibri" w:eastAsia="仿宋_GB2312" w:cs="Times New Roman"/>
          <w:b/>
          <w:sz w:val="52"/>
          <w:szCs w:val="52"/>
          <w:u w:val="single"/>
          <w:lang w:val="en-US"/>
        </w:rPr>
      </w:pPr>
      <w:r>
        <w:rPr>
          <w:rFonts w:hint="eastAsia" w:ascii="仿宋_GB2312" w:hAnsi="Calibri" w:eastAsia="仿宋_GB2312" w:cs="Times New Roman"/>
          <w:b/>
          <w:sz w:val="52"/>
          <w:szCs w:val="52"/>
          <w:u w:val="single"/>
          <w:lang w:val="en-US" w:eastAsia="zh-CN"/>
        </w:rPr>
        <w:t>项目定位策划报告合作项目</w:t>
      </w:r>
    </w:p>
    <w:p w14:paraId="5B474E27">
      <w:pPr>
        <w:jc w:val="center"/>
        <w:rPr>
          <w:rFonts w:ascii="仿宋_GB2312" w:hAnsi="Calibri" w:eastAsia="仿宋_GB2312" w:cs="Times New Roman"/>
          <w:b/>
          <w:sz w:val="52"/>
          <w:szCs w:val="52"/>
          <w:u w:val="single"/>
        </w:rPr>
      </w:pPr>
    </w:p>
    <w:p w14:paraId="50A12591">
      <w:pPr>
        <w:jc w:val="center"/>
        <w:rPr>
          <w:rFonts w:ascii="仿宋_GB2312" w:hAnsi="Calibri" w:eastAsia="仿宋_GB2312" w:cs="Times New Roman"/>
          <w:sz w:val="52"/>
          <w:szCs w:val="52"/>
          <w:u w:val="single"/>
        </w:rPr>
      </w:pPr>
    </w:p>
    <w:p w14:paraId="31713C35">
      <w:pPr>
        <w:jc w:val="center"/>
        <w:rPr>
          <w:rFonts w:ascii="仿宋_GB2312" w:hAnsi="Calibri" w:eastAsia="仿宋_GB2312" w:cs="Times New Roman"/>
          <w:sz w:val="52"/>
          <w:szCs w:val="52"/>
          <w:u w:val="single"/>
        </w:rPr>
      </w:pPr>
    </w:p>
    <w:p w14:paraId="17452275">
      <w:pPr>
        <w:rPr>
          <w:rFonts w:ascii="仿宋_GB2312" w:hAnsi="Calibri" w:eastAsia="仿宋_GB2312" w:cs="Times New Roman"/>
          <w:sz w:val="52"/>
          <w:szCs w:val="52"/>
          <w:u w:val="single"/>
        </w:rPr>
      </w:pPr>
    </w:p>
    <w:p w14:paraId="07CCB7A6">
      <w:pPr>
        <w:jc w:val="center"/>
        <w:rPr>
          <w:rFonts w:ascii="仿宋_GB2312" w:hAnsi="Calibri" w:eastAsia="仿宋_GB2312" w:cs="Times New Roman"/>
          <w:b/>
          <w:sz w:val="90"/>
          <w:szCs w:val="90"/>
        </w:rPr>
      </w:pPr>
      <w:r>
        <w:rPr>
          <w:rFonts w:hint="eastAsia" w:ascii="仿宋_GB2312" w:hAnsi="Calibri" w:eastAsia="仿宋_GB2312" w:cs="Times New Roman"/>
          <w:b/>
          <w:sz w:val="90"/>
          <w:szCs w:val="90"/>
        </w:rPr>
        <w:t>竞投文件</w:t>
      </w:r>
    </w:p>
    <w:p w14:paraId="3CF4FA63">
      <w:pPr>
        <w:spacing w:line="400" w:lineRule="exact"/>
        <w:jc w:val="center"/>
        <w:rPr>
          <w:rFonts w:ascii="仿宋_GB2312" w:hAnsi="Calibri" w:eastAsia="仿宋_GB2312" w:cs="Times New Roman"/>
          <w:sz w:val="72"/>
          <w:szCs w:val="72"/>
        </w:rPr>
      </w:pPr>
    </w:p>
    <w:p w14:paraId="696F197E">
      <w:pPr>
        <w:spacing w:line="400" w:lineRule="exact"/>
        <w:jc w:val="center"/>
        <w:rPr>
          <w:rFonts w:ascii="仿宋_GB2312" w:hAnsi="Calibri" w:eastAsia="仿宋_GB2312" w:cs="Times New Roman"/>
          <w:sz w:val="72"/>
          <w:szCs w:val="72"/>
        </w:rPr>
      </w:pPr>
    </w:p>
    <w:p w14:paraId="7DEEC804">
      <w:pPr>
        <w:spacing w:line="400" w:lineRule="exact"/>
        <w:jc w:val="center"/>
        <w:rPr>
          <w:rFonts w:ascii="仿宋_GB2312" w:hAnsi="Calibri" w:eastAsia="仿宋_GB2312" w:cs="Times New Roman"/>
          <w:sz w:val="72"/>
          <w:szCs w:val="72"/>
        </w:rPr>
      </w:pPr>
    </w:p>
    <w:p w14:paraId="61BC020D">
      <w:pPr>
        <w:spacing w:line="400" w:lineRule="exact"/>
        <w:jc w:val="center"/>
        <w:rPr>
          <w:rFonts w:ascii="仿宋_GB2312" w:hAnsi="Calibri" w:eastAsia="仿宋_GB2312" w:cs="Times New Roman"/>
          <w:sz w:val="72"/>
          <w:szCs w:val="72"/>
        </w:rPr>
      </w:pPr>
    </w:p>
    <w:p w14:paraId="11F97D37">
      <w:pPr>
        <w:spacing w:line="400" w:lineRule="exact"/>
        <w:jc w:val="center"/>
        <w:rPr>
          <w:rFonts w:ascii="仿宋_GB2312" w:hAnsi="Calibri" w:eastAsia="仿宋_GB2312" w:cs="Times New Roman"/>
          <w:sz w:val="40"/>
          <w:szCs w:val="72"/>
        </w:rPr>
      </w:pPr>
      <w:r>
        <w:rPr>
          <w:rFonts w:hint="eastAsia" w:ascii="仿宋_GB2312" w:hAnsi="Calibri" w:eastAsia="仿宋_GB2312" w:cs="Times New Roman"/>
          <w:sz w:val="40"/>
          <w:szCs w:val="72"/>
        </w:rPr>
        <w:t>（正本）</w:t>
      </w:r>
    </w:p>
    <w:p w14:paraId="0A4569F9">
      <w:pPr>
        <w:spacing w:line="400" w:lineRule="exact"/>
        <w:jc w:val="center"/>
        <w:rPr>
          <w:rFonts w:ascii="仿宋_GB2312" w:hAnsi="Calibri" w:eastAsia="仿宋_GB2312" w:cs="Times New Roman"/>
          <w:sz w:val="72"/>
          <w:szCs w:val="72"/>
        </w:rPr>
      </w:pPr>
    </w:p>
    <w:p w14:paraId="0EFACEF2">
      <w:pPr>
        <w:spacing w:line="400" w:lineRule="exact"/>
        <w:jc w:val="center"/>
        <w:rPr>
          <w:rFonts w:ascii="仿宋_GB2312" w:hAnsi="Calibri" w:eastAsia="仿宋_GB2312" w:cs="Times New Roman"/>
          <w:sz w:val="72"/>
          <w:szCs w:val="72"/>
        </w:rPr>
      </w:pPr>
    </w:p>
    <w:p w14:paraId="21FC6879">
      <w:pPr>
        <w:spacing w:line="400" w:lineRule="exact"/>
        <w:rPr>
          <w:rFonts w:ascii="仿宋_GB2312" w:hAnsi="Calibri" w:eastAsia="仿宋_GB2312" w:cs="Times New Roman"/>
          <w:sz w:val="32"/>
          <w:szCs w:val="32"/>
          <w:u w:val="single"/>
        </w:rPr>
      </w:pPr>
      <w:r>
        <w:rPr>
          <w:rFonts w:hint="eastAsia" w:ascii="仿宋_GB2312" w:hAnsi="Calibri" w:eastAsia="仿宋_GB2312" w:cs="Times New Roman"/>
          <w:sz w:val="32"/>
          <w:szCs w:val="32"/>
        </w:rPr>
        <w:t>竞投单位：</w:t>
      </w:r>
    </w:p>
    <w:p w14:paraId="33C66E76">
      <w:pPr>
        <w:spacing w:line="400" w:lineRule="exact"/>
        <w:rPr>
          <w:rFonts w:ascii="仿宋_GB2312" w:hAnsi="Calibri" w:eastAsia="仿宋_GB2312" w:cs="Times New Roman"/>
          <w:sz w:val="32"/>
          <w:szCs w:val="32"/>
        </w:rPr>
      </w:pPr>
      <w:r>
        <w:rPr>
          <w:rFonts w:hint="eastAsia" w:ascii="仿宋_GB2312" w:hAnsi="Calibri" w:eastAsia="仿宋_GB2312" w:cs="Times New Roman"/>
          <w:sz w:val="32"/>
          <w:szCs w:val="32"/>
        </w:rPr>
        <w:t>竞投日期：</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 xml:space="preserve">年 </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 xml:space="preserve"> 月</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 xml:space="preserve"> 日</w:t>
      </w:r>
    </w:p>
    <w:p w14:paraId="309607FE">
      <w:pPr>
        <w:keepNext/>
        <w:keepLines/>
        <w:spacing w:before="260" w:after="260" w:line="400" w:lineRule="exact"/>
        <w:outlineLvl w:val="1"/>
        <w:rPr>
          <w:rFonts w:ascii="仿宋_GB2312" w:hAnsi="Arial" w:eastAsia="仿宋_GB2312" w:cs="Times New Roman"/>
          <w:bCs/>
          <w:sz w:val="28"/>
          <w:szCs w:val="28"/>
        </w:rPr>
      </w:pPr>
      <w:r>
        <w:rPr>
          <w:rFonts w:ascii="仿宋_GB2312" w:hAnsi="Arial" w:eastAsia="仿宋_GB2312" w:cs="Times New Roman"/>
          <w:bCs/>
          <w:sz w:val="28"/>
          <w:szCs w:val="28"/>
        </w:rPr>
        <w:br w:type="page"/>
      </w:r>
      <w:r>
        <w:rPr>
          <w:rFonts w:hint="eastAsia" w:ascii="仿宋_GB2312" w:hAnsi="Arial" w:eastAsia="仿宋_GB2312" w:cs="Times New Roman"/>
          <w:bCs/>
          <w:sz w:val="24"/>
          <w:szCs w:val="24"/>
        </w:rPr>
        <w:t>附件2</w:t>
      </w:r>
      <w:r>
        <w:rPr>
          <w:rFonts w:hint="eastAsia" w:ascii="仿宋_GB2312" w:hAnsi="Arial" w:eastAsia="仿宋_GB2312" w:cs="Times New Roman"/>
          <w:bCs/>
          <w:sz w:val="28"/>
          <w:szCs w:val="28"/>
        </w:rPr>
        <w:t xml:space="preserve"> </w:t>
      </w:r>
    </w:p>
    <w:p w14:paraId="0E2967CB">
      <w:pPr>
        <w:keepNext/>
        <w:keepLines/>
        <w:spacing w:before="260" w:after="260" w:line="400" w:lineRule="exact"/>
        <w:jc w:val="center"/>
        <w:outlineLvl w:val="1"/>
        <w:rPr>
          <w:rFonts w:ascii="仿宋_GB2312" w:hAnsi="宋体" w:eastAsia="仿宋_GB2312" w:cs="宋体"/>
          <w:b/>
          <w:bCs/>
          <w:sz w:val="30"/>
          <w:szCs w:val="30"/>
        </w:rPr>
      </w:pPr>
      <w:r>
        <w:rPr>
          <w:rFonts w:hint="eastAsia" w:ascii="仿宋_GB2312" w:hAnsi="宋体" w:eastAsia="仿宋_GB2312" w:cs="宋体"/>
          <w:b/>
          <w:bCs/>
          <w:sz w:val="30"/>
          <w:szCs w:val="30"/>
        </w:rPr>
        <w:t>竞投函</w:t>
      </w:r>
    </w:p>
    <w:p w14:paraId="0671729B">
      <w:pPr>
        <w:spacing w:line="400" w:lineRule="exact"/>
        <w:rPr>
          <w:rFonts w:ascii="仿宋_GB2312" w:hAnsi="宋体" w:eastAsia="仿宋_GB2312" w:cs="Times New Roman"/>
          <w:b/>
          <w:bCs/>
          <w:sz w:val="24"/>
          <w:szCs w:val="24"/>
        </w:rPr>
      </w:pPr>
      <w:r>
        <w:rPr>
          <w:rFonts w:hint="eastAsia" w:ascii="仿宋_GB2312" w:hAnsi="宋体" w:eastAsia="仿宋_GB2312" w:cs="Times New Roman"/>
          <w:b/>
          <w:bCs/>
          <w:sz w:val="24"/>
          <w:szCs w:val="24"/>
        </w:rPr>
        <w:t xml:space="preserve">致: </w:t>
      </w:r>
      <w:r>
        <w:rPr>
          <w:rFonts w:hint="eastAsia" w:ascii="仿宋_GB2312" w:hAnsi="宋体" w:eastAsia="仿宋_GB2312" w:cs="宋体"/>
          <w:b/>
          <w:bCs/>
          <w:kern w:val="0"/>
          <w:sz w:val="24"/>
          <w:szCs w:val="24"/>
        </w:rPr>
        <w:t>广州市城壹房地产</w:t>
      </w:r>
      <w:r>
        <w:rPr>
          <w:rFonts w:hint="eastAsia" w:ascii="仿宋_GB2312" w:hAnsi="宋体" w:eastAsia="仿宋_GB2312" w:cs="宋体"/>
          <w:b/>
          <w:bCs/>
          <w:kern w:val="0"/>
          <w:sz w:val="24"/>
          <w:szCs w:val="24"/>
          <w:lang w:val="en-US" w:eastAsia="zh-CN"/>
        </w:rPr>
        <w:t>顾问</w:t>
      </w:r>
      <w:r>
        <w:rPr>
          <w:rFonts w:hint="eastAsia" w:ascii="仿宋_GB2312" w:hAnsi="宋体" w:eastAsia="仿宋_GB2312" w:cs="宋体"/>
          <w:b/>
          <w:bCs/>
          <w:kern w:val="0"/>
          <w:sz w:val="24"/>
          <w:szCs w:val="24"/>
        </w:rPr>
        <w:t>有限公司</w:t>
      </w:r>
    </w:p>
    <w:p w14:paraId="166400ED">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根据你方采购项目</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的竞投文件要求，我方在此声明并同意：</w:t>
      </w:r>
    </w:p>
    <w:p w14:paraId="6F73687C">
      <w:pPr>
        <w:numPr>
          <w:ilvl w:val="0"/>
          <w:numId w:val="7"/>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我方愿意遵守采购文件的各项规定，按竞投文件的要求提供各项资料及报价。</w:t>
      </w:r>
    </w:p>
    <w:p w14:paraId="71B7A3E5">
      <w:pPr>
        <w:numPr>
          <w:ilvl w:val="0"/>
          <w:numId w:val="7"/>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我方已经详细地阅读了全部采购文件及附件，包括澄清及参考文件（如有），我方完全清晰理解竞投文件的要求，不存在任何含糊不清和误解之处，同意放弃对这些文件提出异议和质疑的权利。</w:t>
      </w:r>
    </w:p>
    <w:p w14:paraId="749C5AEC">
      <w:pPr>
        <w:numPr>
          <w:ilvl w:val="0"/>
          <w:numId w:val="7"/>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我方完全接受该项目竞投文件中关于竞投的规定，并同意放弃对这规定提出异议和质疑的权利。</w:t>
      </w:r>
    </w:p>
    <w:p w14:paraId="206D62F1">
      <w:pPr>
        <w:numPr>
          <w:ilvl w:val="0"/>
          <w:numId w:val="7"/>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我方同意提供竞投文件要求的有关竞投的其它资料。</w:t>
      </w:r>
    </w:p>
    <w:p w14:paraId="16C941EA">
      <w:pPr>
        <w:numPr>
          <w:ilvl w:val="0"/>
          <w:numId w:val="7"/>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我方承诺在本次竞投中提供的一切文件，无论是原件或是复印件均为真实和准确的，绝无任何虚假、伪造和夸大的成份。否则，我方愿意承担相应的后果和法律责任。</w:t>
      </w:r>
    </w:p>
    <w:p w14:paraId="7D364613">
      <w:pPr>
        <w:numPr>
          <w:ilvl w:val="0"/>
          <w:numId w:val="7"/>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我方完全理解，采购人并无义务必须接受最低报价的竞投或其它任何竞投。</w:t>
      </w:r>
    </w:p>
    <w:p w14:paraId="0C216535">
      <w:pPr>
        <w:numPr>
          <w:ilvl w:val="0"/>
          <w:numId w:val="7"/>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如我方的竞投条件被接受，我方承诺按采购人的要求，完成采购文件内的所有工作内容及同意签署竞投文件规定的合同。</w:t>
      </w:r>
    </w:p>
    <w:p w14:paraId="704D88CE">
      <w:pPr>
        <w:spacing w:line="400" w:lineRule="exact"/>
        <w:rPr>
          <w:rFonts w:ascii="仿宋_GB2312" w:hAnsi="宋体" w:eastAsia="仿宋_GB2312" w:cs="Times New Roman"/>
          <w:bCs/>
          <w:sz w:val="24"/>
          <w:szCs w:val="24"/>
        </w:rPr>
      </w:pPr>
    </w:p>
    <w:p w14:paraId="7DA9F5CF">
      <w:pPr>
        <w:spacing w:line="400" w:lineRule="exact"/>
        <w:rPr>
          <w:rFonts w:ascii="仿宋_GB2312" w:hAnsi="宋体" w:eastAsia="仿宋_GB2312" w:cs="Times New Roman"/>
          <w:bCs/>
          <w:sz w:val="24"/>
          <w:szCs w:val="24"/>
        </w:rPr>
      </w:pPr>
    </w:p>
    <w:p w14:paraId="34F276C6">
      <w:pPr>
        <w:spacing w:line="400" w:lineRule="exact"/>
        <w:rPr>
          <w:rFonts w:ascii="仿宋_GB2312" w:hAnsi="宋体" w:eastAsia="仿宋_GB2312" w:cs="Times New Roman"/>
          <w:bCs/>
          <w:sz w:val="24"/>
          <w:szCs w:val="24"/>
        </w:rPr>
      </w:pPr>
    </w:p>
    <w:p w14:paraId="28A3762B">
      <w:pPr>
        <w:spacing w:line="40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竞投人全称（加盖公章）:</w:t>
      </w:r>
    </w:p>
    <w:p w14:paraId="6128FD83">
      <w:pPr>
        <w:tabs>
          <w:tab w:val="left" w:pos="3600"/>
        </w:tabs>
        <w:spacing w:line="40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法定代表人或其竞投人授权代表(</w:t>
      </w:r>
      <w:r>
        <w:rPr>
          <w:rFonts w:hint="eastAsia" w:ascii="仿宋_GB2312" w:hAnsi="宋体" w:eastAsia="仿宋_GB2312" w:cs="Times New Roman"/>
          <w:b/>
          <w:sz w:val="24"/>
          <w:szCs w:val="24"/>
        </w:rPr>
        <w:t>签字</w:t>
      </w:r>
      <w:r>
        <w:rPr>
          <w:rFonts w:hint="eastAsia" w:ascii="仿宋_GB2312" w:hAnsi="宋体" w:eastAsia="仿宋_GB2312" w:cs="Times New Roman"/>
          <w:bCs/>
          <w:sz w:val="24"/>
          <w:szCs w:val="24"/>
        </w:rPr>
        <w:t>)：</w:t>
      </w:r>
    </w:p>
    <w:p w14:paraId="0D59B238">
      <w:pPr>
        <w:spacing w:before="120" w:after="120" w:line="40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日    期：         年      月     日</w:t>
      </w:r>
    </w:p>
    <w:p w14:paraId="1F012071">
      <w:pPr>
        <w:keepNext/>
        <w:keepLines/>
        <w:spacing w:before="260" w:after="260" w:line="400" w:lineRule="exact"/>
        <w:outlineLvl w:val="1"/>
        <w:rPr>
          <w:rFonts w:ascii="仿宋_GB2312" w:hAnsi="宋体" w:eastAsia="仿宋_GB2312" w:cs="Times New Roman"/>
          <w:bCs/>
          <w:szCs w:val="21"/>
        </w:rPr>
      </w:pPr>
      <w:bookmarkStart w:id="10" w:name="_Toc234432974"/>
    </w:p>
    <w:p w14:paraId="492ECB6C">
      <w:pPr>
        <w:spacing w:line="400" w:lineRule="exact"/>
        <w:rPr>
          <w:rFonts w:ascii="仿宋_GB2312" w:hAnsi="宋体" w:eastAsia="仿宋_GB2312" w:cs="Times New Roman"/>
          <w:b/>
          <w:szCs w:val="21"/>
        </w:rPr>
      </w:pPr>
    </w:p>
    <w:p w14:paraId="413218F9">
      <w:pPr>
        <w:spacing w:line="400" w:lineRule="exact"/>
        <w:rPr>
          <w:rFonts w:ascii="仿宋_GB2312" w:hAnsi="宋体" w:eastAsia="仿宋_GB2312" w:cs="Times New Roman"/>
          <w:b/>
          <w:szCs w:val="21"/>
        </w:rPr>
      </w:pPr>
    </w:p>
    <w:p w14:paraId="10BCA963">
      <w:pPr>
        <w:spacing w:line="400" w:lineRule="exact"/>
        <w:rPr>
          <w:rFonts w:ascii="仿宋_GB2312" w:hAnsi="宋体" w:eastAsia="仿宋_GB2312" w:cs="Times New Roman"/>
          <w:b/>
          <w:szCs w:val="21"/>
        </w:rPr>
      </w:pPr>
    </w:p>
    <w:p w14:paraId="4340083B">
      <w:pPr>
        <w:spacing w:line="400" w:lineRule="exact"/>
        <w:rPr>
          <w:rFonts w:ascii="仿宋_GB2312" w:hAnsi="Calibri" w:eastAsia="仿宋_GB2312" w:cs="Times New Roman"/>
          <w:szCs w:val="24"/>
        </w:rPr>
      </w:pPr>
    </w:p>
    <w:p w14:paraId="4A54B918">
      <w:pPr>
        <w:keepNext/>
        <w:keepLines/>
        <w:spacing w:before="260" w:after="20" w:line="400" w:lineRule="exact"/>
        <w:outlineLvl w:val="1"/>
        <w:rPr>
          <w:rFonts w:ascii="仿宋_GB2312" w:hAnsi="Arial" w:eastAsia="仿宋_GB2312" w:cs="Times New Roman"/>
          <w:b/>
          <w:bCs/>
          <w:sz w:val="28"/>
          <w:szCs w:val="28"/>
        </w:rPr>
      </w:pPr>
      <w:bookmarkStart w:id="11" w:name="_Toc334797769"/>
      <w:r>
        <w:rPr>
          <w:rFonts w:hint="eastAsia" w:ascii="仿宋_GB2312" w:hAnsi="Arial" w:eastAsia="仿宋_GB2312" w:cs="Times New Roman"/>
          <w:bCs/>
          <w:sz w:val="24"/>
          <w:szCs w:val="24"/>
        </w:rPr>
        <w:t>附件3</w:t>
      </w:r>
    </w:p>
    <w:bookmarkEnd w:id="10"/>
    <w:bookmarkEnd w:id="11"/>
    <w:p w14:paraId="7F3E5A84">
      <w:pPr>
        <w:keepNext/>
        <w:keepLines/>
        <w:spacing w:before="260" w:after="260" w:line="400" w:lineRule="exact"/>
        <w:jc w:val="center"/>
        <w:outlineLvl w:val="1"/>
        <w:rPr>
          <w:rFonts w:ascii="仿宋_GB2312" w:hAnsi="宋体" w:eastAsia="仿宋_GB2312" w:cs="宋体"/>
          <w:sz w:val="32"/>
          <w:szCs w:val="32"/>
        </w:rPr>
      </w:pPr>
      <w:bookmarkStart w:id="12" w:name="_Toc334797770"/>
      <w:bookmarkStart w:id="13" w:name="_Toc334797771"/>
      <w:r>
        <w:rPr>
          <w:rFonts w:hint="eastAsia" w:ascii="仿宋_GB2312" w:hAnsi="宋体" w:eastAsia="仿宋_GB2312" w:cs="宋体"/>
          <w:b/>
          <w:bCs/>
          <w:sz w:val="32"/>
          <w:szCs w:val="32"/>
        </w:rPr>
        <w:t>法定代表人证明及授权书</w:t>
      </w:r>
    </w:p>
    <w:p w14:paraId="52AEA1CD">
      <w:pPr>
        <w:spacing w:line="400" w:lineRule="exact"/>
        <w:rPr>
          <w:rFonts w:ascii="仿宋_GB2312" w:hAnsi="宋体" w:eastAsia="仿宋_GB2312" w:cs="Times New Roman"/>
          <w:szCs w:val="21"/>
        </w:rPr>
      </w:pPr>
      <w:r>
        <w:rPr>
          <w:rFonts w:hint="eastAsia" w:ascii="仿宋_GB2312" w:hAnsi="宋体" w:eastAsia="仿宋_GB2312" w:cs="宋体"/>
          <w:bCs/>
          <w:kern w:val="0"/>
          <w:sz w:val="24"/>
          <w:szCs w:val="21"/>
        </w:rPr>
        <w:t>致: 广州市城壹房地产</w:t>
      </w:r>
      <w:r>
        <w:rPr>
          <w:rFonts w:hint="eastAsia" w:ascii="仿宋_GB2312" w:hAnsi="宋体" w:eastAsia="仿宋_GB2312" w:cs="宋体"/>
          <w:bCs/>
          <w:kern w:val="0"/>
          <w:sz w:val="24"/>
          <w:szCs w:val="21"/>
          <w:lang w:val="en-US" w:eastAsia="zh-CN"/>
        </w:rPr>
        <w:t>顾问</w:t>
      </w:r>
      <w:r>
        <w:rPr>
          <w:rFonts w:hint="eastAsia" w:ascii="仿宋_GB2312" w:hAnsi="宋体" w:eastAsia="仿宋_GB2312" w:cs="宋体"/>
          <w:bCs/>
          <w:kern w:val="0"/>
          <w:sz w:val="24"/>
          <w:szCs w:val="21"/>
        </w:rPr>
        <w:t>有限公司</w:t>
      </w:r>
      <w:r>
        <w:rPr>
          <w:rFonts w:hint="eastAsia" w:ascii="仿宋_GB2312" w:hAnsi="宋体" w:eastAsia="仿宋_GB2312" w:cs="Times New Roman"/>
          <w:szCs w:val="21"/>
        </w:rPr>
        <w:tab/>
      </w:r>
    </w:p>
    <w:p w14:paraId="109B4A3C">
      <w:pPr>
        <w:spacing w:line="400" w:lineRule="exact"/>
        <w:rPr>
          <w:rFonts w:ascii="仿宋_GB2312" w:hAnsi="宋体" w:eastAsia="仿宋_GB2312" w:cs="Times New Roman"/>
          <w:szCs w:val="21"/>
        </w:rPr>
      </w:pPr>
    </w:p>
    <w:p w14:paraId="6F654F97">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本授权证明：</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是注册于</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的</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法定代表人，现任</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。在此授权</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作为我公司的全权代理人，在</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的竞投及其合同执行过程中，以我公司的名义处理一切与之有关的事务。</w:t>
      </w:r>
    </w:p>
    <w:p w14:paraId="48658714">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本授权书于</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日起签字生效，特此声明。</w:t>
      </w:r>
    </w:p>
    <w:p w14:paraId="7F8E36A7">
      <w:pPr>
        <w:spacing w:line="400" w:lineRule="exact"/>
        <w:rPr>
          <w:rFonts w:ascii="仿宋_GB2312" w:hAnsi="宋体" w:eastAsia="仿宋_GB2312" w:cs="Times New Roman"/>
          <w:sz w:val="24"/>
          <w:szCs w:val="24"/>
        </w:rPr>
      </w:pPr>
    </w:p>
    <w:p w14:paraId="7696641C">
      <w:pPr>
        <w:spacing w:line="400" w:lineRule="exact"/>
        <w:rPr>
          <w:rFonts w:ascii="仿宋_GB2312" w:hAnsi="宋体" w:eastAsia="仿宋_GB2312" w:cs="Times New Roman"/>
          <w:sz w:val="24"/>
          <w:szCs w:val="24"/>
        </w:rPr>
      </w:pPr>
    </w:p>
    <w:p w14:paraId="728074C5">
      <w:pPr>
        <w:spacing w:line="400" w:lineRule="exact"/>
        <w:rPr>
          <w:rFonts w:ascii="仿宋_GB2312" w:hAnsi="宋体" w:eastAsia="仿宋_GB2312" w:cs="Times New Roman"/>
          <w:sz w:val="24"/>
          <w:szCs w:val="24"/>
        </w:rPr>
      </w:pPr>
    </w:p>
    <w:p w14:paraId="3C8B8D11">
      <w:pPr>
        <w:spacing w:line="400" w:lineRule="exact"/>
        <w:rPr>
          <w:rFonts w:ascii="仿宋_GB2312" w:hAnsi="宋体" w:eastAsia="仿宋_GB2312" w:cs="Times New Roman"/>
          <w:sz w:val="24"/>
          <w:szCs w:val="24"/>
        </w:rPr>
      </w:pPr>
    </w:p>
    <w:p w14:paraId="17DDEE73">
      <w:pPr>
        <w:spacing w:line="400" w:lineRule="exact"/>
        <w:rPr>
          <w:rFonts w:ascii="仿宋_GB2312" w:hAnsi="宋体" w:eastAsia="仿宋_GB2312" w:cs="Times New Roman"/>
          <w:sz w:val="24"/>
          <w:szCs w:val="24"/>
        </w:rPr>
      </w:pPr>
    </w:p>
    <w:p w14:paraId="40E077F0">
      <w:pPr>
        <w:spacing w:line="400" w:lineRule="exact"/>
        <w:rPr>
          <w:rFonts w:ascii="仿宋_GB2312" w:hAnsi="宋体" w:eastAsia="仿宋_GB2312" w:cs="Times New Roman"/>
          <w:sz w:val="24"/>
          <w:szCs w:val="24"/>
        </w:rPr>
      </w:pPr>
    </w:p>
    <w:p w14:paraId="6BE0F6AD">
      <w:pPr>
        <w:spacing w:line="400" w:lineRule="exact"/>
        <w:rPr>
          <w:rFonts w:ascii="仿宋_GB2312" w:hAnsi="宋体" w:eastAsia="仿宋_GB2312" w:cs="Times New Roman"/>
          <w:sz w:val="24"/>
          <w:szCs w:val="24"/>
        </w:rPr>
      </w:pPr>
    </w:p>
    <w:p w14:paraId="7413DAC5">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竞投人全称（公章）：                   </w:t>
      </w:r>
    </w:p>
    <w:p w14:paraId="7A2EEF1E">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法定代表人（</w:t>
      </w:r>
      <w:r>
        <w:rPr>
          <w:rFonts w:hint="eastAsia" w:ascii="仿宋_GB2312" w:hAnsi="宋体" w:eastAsia="仿宋_GB2312" w:cs="Times New Roman"/>
          <w:b/>
          <w:bCs/>
          <w:sz w:val="24"/>
          <w:szCs w:val="24"/>
        </w:rPr>
        <w:t>签字</w:t>
      </w:r>
      <w:r>
        <w:rPr>
          <w:rFonts w:hint="eastAsia" w:ascii="仿宋_GB2312" w:hAnsi="宋体" w:eastAsia="仿宋_GB2312" w:cs="Times New Roman"/>
          <w:sz w:val="24"/>
          <w:szCs w:val="24"/>
        </w:rPr>
        <w:t xml:space="preserve">）：        </w:t>
      </w:r>
    </w:p>
    <w:p w14:paraId="338C6369">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被授权人(竞投人授权代表)（</w:t>
      </w:r>
      <w:r>
        <w:rPr>
          <w:rFonts w:hint="eastAsia" w:ascii="仿宋_GB2312" w:hAnsi="宋体" w:eastAsia="仿宋_GB2312" w:cs="Times New Roman"/>
          <w:b/>
          <w:bCs/>
          <w:sz w:val="24"/>
          <w:szCs w:val="24"/>
        </w:rPr>
        <w:t>签字</w:t>
      </w:r>
      <w:r>
        <w:rPr>
          <w:rFonts w:hint="eastAsia" w:ascii="仿宋_GB2312" w:hAnsi="宋体" w:eastAsia="仿宋_GB2312" w:cs="Times New Roman"/>
          <w:sz w:val="24"/>
          <w:szCs w:val="24"/>
        </w:rPr>
        <w:t>）：</w:t>
      </w:r>
    </w:p>
    <w:p w14:paraId="3EC23782">
      <w:pPr>
        <w:spacing w:line="400" w:lineRule="exact"/>
        <w:rPr>
          <w:rFonts w:ascii="仿宋_GB2312" w:hAnsi="宋体" w:eastAsia="仿宋_GB2312" w:cs="Times New Roman"/>
          <w:szCs w:val="21"/>
        </w:rPr>
      </w:pPr>
    </w:p>
    <w:p w14:paraId="54A59440">
      <w:pPr>
        <w:spacing w:line="400" w:lineRule="exact"/>
        <w:rPr>
          <w:rFonts w:ascii="仿宋_GB2312" w:hAnsi="宋体" w:eastAsia="仿宋_GB2312" w:cs="Times New Roman"/>
          <w:szCs w:val="21"/>
        </w:rPr>
      </w:pPr>
    </w:p>
    <w:p w14:paraId="30CA6268">
      <w:pPr>
        <w:spacing w:line="400" w:lineRule="exact"/>
        <w:rPr>
          <w:rFonts w:ascii="仿宋_GB2312" w:hAnsi="宋体" w:eastAsia="仿宋_GB2312" w:cs="Times New Roman"/>
          <w:szCs w:val="21"/>
        </w:rPr>
      </w:pP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14:paraId="7D505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4" w:hRule="atLeast"/>
          <w:jc w:val="center"/>
        </w:trPr>
        <w:tc>
          <w:tcPr>
            <w:tcW w:w="6105" w:type="dxa"/>
            <w:vAlign w:val="center"/>
          </w:tcPr>
          <w:p w14:paraId="79F0FD44">
            <w:pPr>
              <w:spacing w:line="400" w:lineRule="exact"/>
              <w:jc w:val="center"/>
              <w:rPr>
                <w:rFonts w:ascii="仿宋_GB2312" w:hAnsi="宋体" w:eastAsia="仿宋_GB2312" w:cs="Times New Roman"/>
                <w:b/>
                <w:szCs w:val="21"/>
              </w:rPr>
            </w:pPr>
            <w:r>
              <w:rPr>
                <w:rFonts w:hint="eastAsia" w:ascii="仿宋_GB2312" w:hAnsi="宋体" w:eastAsia="仿宋_GB2312" w:cs="Times New Roman"/>
                <w:b/>
                <w:szCs w:val="21"/>
              </w:rPr>
              <w:t>被授权人(竞投人授权代表)</w:t>
            </w:r>
          </w:p>
          <w:p w14:paraId="2B5983C2">
            <w:pPr>
              <w:spacing w:line="400" w:lineRule="exact"/>
              <w:jc w:val="center"/>
              <w:rPr>
                <w:rFonts w:ascii="仿宋_GB2312" w:hAnsi="宋体" w:eastAsia="仿宋_GB2312" w:cs="Times New Roman"/>
                <w:b/>
                <w:szCs w:val="21"/>
              </w:rPr>
            </w:pPr>
            <w:r>
              <w:rPr>
                <w:rFonts w:hint="eastAsia" w:ascii="仿宋_GB2312" w:hAnsi="宋体" w:eastAsia="仿宋_GB2312" w:cs="Times New Roman"/>
                <w:b/>
                <w:szCs w:val="21"/>
              </w:rPr>
              <w:t>居民身份证复印件（盖章）</w:t>
            </w:r>
          </w:p>
          <w:p w14:paraId="2C995B4A">
            <w:pPr>
              <w:spacing w:line="400" w:lineRule="exact"/>
              <w:jc w:val="center"/>
              <w:rPr>
                <w:rFonts w:ascii="仿宋_GB2312" w:hAnsi="宋体" w:eastAsia="仿宋_GB2312" w:cs="Times New Roman"/>
                <w:szCs w:val="21"/>
              </w:rPr>
            </w:pPr>
            <w:r>
              <w:rPr>
                <w:rFonts w:hint="eastAsia" w:ascii="仿宋_GB2312" w:hAnsi="宋体" w:eastAsia="仿宋_GB2312" w:cs="Times New Roman"/>
                <w:b/>
                <w:szCs w:val="21"/>
              </w:rPr>
              <w:t>粘贴处</w:t>
            </w:r>
          </w:p>
        </w:tc>
      </w:tr>
    </w:tbl>
    <w:p w14:paraId="3D305A5E">
      <w:pPr>
        <w:keepNext/>
        <w:keepLines/>
        <w:spacing w:before="260" w:after="260" w:line="400" w:lineRule="exact"/>
        <w:outlineLvl w:val="1"/>
        <w:rPr>
          <w:rFonts w:ascii="仿宋_GB2312" w:hAnsi="Arial" w:eastAsia="仿宋_GB2312" w:cs="Times New Roman"/>
          <w:b/>
          <w:bCs/>
          <w:szCs w:val="21"/>
        </w:rPr>
      </w:pPr>
      <w:r>
        <w:rPr>
          <w:rFonts w:hint="eastAsia" w:ascii="仿宋_GB2312" w:hAnsi="Arial" w:eastAsia="仿宋_GB2312" w:cs="Times New Roman"/>
          <w:bCs/>
          <w:sz w:val="24"/>
          <w:szCs w:val="24"/>
        </w:rPr>
        <w:t>附件4</w:t>
      </w:r>
      <w:r>
        <w:rPr>
          <w:rFonts w:ascii="仿宋_GB2312" w:hAnsi="Arial" w:eastAsia="仿宋_GB2312" w:cs="Times New Roman"/>
          <w:b/>
          <w:bCs/>
          <w:szCs w:val="21"/>
        </w:rPr>
        <w:t xml:space="preserve"> </w:t>
      </w:r>
    </w:p>
    <w:bookmarkEnd w:id="12"/>
    <w:p w14:paraId="2D6088D7">
      <w:pPr>
        <w:keepNext/>
        <w:keepLines/>
        <w:spacing w:before="260" w:after="260" w:line="400" w:lineRule="exact"/>
        <w:jc w:val="center"/>
        <w:outlineLvl w:val="1"/>
        <w:rPr>
          <w:rFonts w:ascii="仿宋_GB2312" w:hAnsi="宋体" w:eastAsia="仿宋_GB2312" w:cs="宋体"/>
          <w:b/>
          <w:bCs/>
          <w:sz w:val="32"/>
          <w:szCs w:val="32"/>
        </w:rPr>
      </w:pPr>
    </w:p>
    <w:p w14:paraId="74C446E0">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竞投报价表</w:t>
      </w:r>
    </w:p>
    <w:p w14:paraId="0AE322C2">
      <w:pPr>
        <w:spacing w:line="400" w:lineRule="exact"/>
        <w:rPr>
          <w:rFonts w:ascii="仿宋_GB2312" w:hAnsi="宋体" w:eastAsia="仿宋_GB2312" w:cs="Tahoma"/>
          <w:kern w:val="28"/>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_GB2312" w:hAnsi="仿宋_GB2312" w:eastAsia="仿宋_GB2312" w:cs="仿宋_GB2312"/>
          <w:szCs w:val="21"/>
        </w:rPr>
        <w:t xml:space="preserve"> </w:t>
      </w:r>
      <w:r>
        <w:rPr>
          <w:rFonts w:hint="eastAsia" w:ascii="仿宋_GB2312" w:hAnsi="宋体" w:eastAsia="仿宋_GB2312" w:cs="Tahoma"/>
          <w:kern w:val="28"/>
          <w:szCs w:val="21"/>
        </w:rPr>
        <w:t xml:space="preserve">                                                  </w:t>
      </w:r>
      <w:r>
        <w:rPr>
          <w:rFonts w:hint="eastAsia" w:ascii="仿宋_GB2312" w:hAnsi="仿宋_GB2312" w:eastAsia="仿宋_GB2312" w:cs="仿宋_GB2312"/>
          <w:szCs w:val="21"/>
        </w:rPr>
        <w:t>[货币单位：人民币元]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11"/>
        <w:gridCol w:w="2365"/>
        <w:gridCol w:w="2365"/>
      </w:tblGrid>
      <w:tr w14:paraId="7F74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060E421D">
            <w:pPr>
              <w:jc w:val="center"/>
              <w:rPr>
                <w:rFonts w:ascii="Calibri" w:hAnsi="Calibri" w:eastAsia="宋体" w:cs="Times New Roman"/>
                <w:szCs w:val="24"/>
              </w:rPr>
            </w:pPr>
            <w:r>
              <w:rPr>
                <w:rFonts w:hint="eastAsia" w:ascii="Calibri" w:hAnsi="Calibri" w:eastAsia="宋体" w:cs="Times New Roman"/>
                <w:szCs w:val="24"/>
              </w:rPr>
              <w:t>序号</w:t>
            </w:r>
          </w:p>
        </w:tc>
        <w:tc>
          <w:tcPr>
            <w:tcW w:w="3911" w:type="dxa"/>
            <w:vAlign w:val="center"/>
          </w:tcPr>
          <w:p w14:paraId="62FBF868">
            <w:pPr>
              <w:jc w:val="center"/>
              <w:rPr>
                <w:rFonts w:ascii="Calibri" w:hAnsi="Calibri" w:eastAsia="宋体" w:cs="Times New Roman"/>
                <w:szCs w:val="24"/>
              </w:rPr>
            </w:pPr>
            <w:r>
              <w:rPr>
                <w:rFonts w:hint="eastAsia" w:ascii="Calibri" w:hAnsi="Calibri" w:eastAsia="宋体" w:cs="Times New Roman"/>
                <w:szCs w:val="24"/>
              </w:rPr>
              <w:t>报价内容</w:t>
            </w:r>
          </w:p>
        </w:tc>
        <w:tc>
          <w:tcPr>
            <w:tcW w:w="2365" w:type="dxa"/>
            <w:vAlign w:val="center"/>
          </w:tcPr>
          <w:p w14:paraId="1A4F694C">
            <w:pPr>
              <w:jc w:val="center"/>
              <w:rPr>
                <w:rFonts w:ascii="Calibri" w:hAnsi="Calibri" w:eastAsia="宋体" w:cs="Times New Roman"/>
                <w:szCs w:val="24"/>
              </w:rPr>
            </w:pPr>
            <w:r>
              <w:rPr>
                <w:rFonts w:hint="eastAsia" w:ascii="Calibri" w:hAnsi="Calibri" w:eastAsia="宋体" w:cs="Times New Roman"/>
                <w:szCs w:val="24"/>
              </w:rPr>
              <w:t>报价金额</w:t>
            </w:r>
          </w:p>
        </w:tc>
        <w:tc>
          <w:tcPr>
            <w:tcW w:w="2365" w:type="dxa"/>
            <w:vAlign w:val="center"/>
          </w:tcPr>
          <w:p w14:paraId="1FEC8301">
            <w:pPr>
              <w:jc w:val="center"/>
              <w:rPr>
                <w:rFonts w:ascii="Calibri" w:hAnsi="Calibri" w:eastAsia="宋体" w:cs="Times New Roman"/>
                <w:szCs w:val="24"/>
              </w:rPr>
            </w:pPr>
            <w:r>
              <w:rPr>
                <w:rFonts w:hint="eastAsia" w:ascii="Calibri" w:hAnsi="Calibri" w:eastAsia="宋体" w:cs="Times New Roman"/>
                <w:szCs w:val="24"/>
              </w:rPr>
              <w:t>备注</w:t>
            </w:r>
          </w:p>
        </w:tc>
      </w:tr>
      <w:tr w14:paraId="7C9D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5901F196">
            <w:pPr>
              <w:jc w:val="center"/>
              <w:rPr>
                <w:rFonts w:ascii="Calibri" w:hAnsi="Calibri" w:eastAsia="宋体" w:cs="Times New Roman"/>
                <w:szCs w:val="24"/>
              </w:rPr>
            </w:pPr>
            <w:r>
              <w:rPr>
                <w:rFonts w:hint="eastAsia" w:ascii="Calibri" w:hAnsi="Calibri" w:eastAsia="宋体" w:cs="Times New Roman"/>
                <w:szCs w:val="24"/>
              </w:rPr>
              <w:t>1</w:t>
            </w:r>
          </w:p>
        </w:tc>
        <w:tc>
          <w:tcPr>
            <w:tcW w:w="3911" w:type="dxa"/>
            <w:vAlign w:val="center"/>
          </w:tcPr>
          <w:p w14:paraId="319B28C6">
            <w:pPr>
              <w:rPr>
                <w:rFonts w:ascii="Calibri" w:hAnsi="Calibri" w:eastAsia="宋体" w:cs="Times New Roman"/>
                <w:szCs w:val="24"/>
              </w:rPr>
            </w:pPr>
            <w:r>
              <w:rPr>
                <w:rFonts w:hint="eastAsia" w:ascii="Calibri" w:hAnsi="Calibri" w:eastAsia="宋体" w:cs="Times New Roman"/>
                <w:szCs w:val="24"/>
              </w:rPr>
              <w:t>竞投总报价（含税）</w:t>
            </w:r>
          </w:p>
        </w:tc>
        <w:tc>
          <w:tcPr>
            <w:tcW w:w="2365" w:type="dxa"/>
            <w:vAlign w:val="center"/>
          </w:tcPr>
          <w:p w14:paraId="4DF5D3E4">
            <w:pPr>
              <w:rPr>
                <w:rFonts w:ascii="Calibri" w:hAnsi="Calibri" w:eastAsia="宋体" w:cs="Times New Roman"/>
                <w:szCs w:val="24"/>
              </w:rPr>
            </w:pPr>
          </w:p>
        </w:tc>
        <w:tc>
          <w:tcPr>
            <w:tcW w:w="2365" w:type="dxa"/>
            <w:vAlign w:val="center"/>
          </w:tcPr>
          <w:p w14:paraId="5155A88B">
            <w:pPr>
              <w:rPr>
                <w:rFonts w:ascii="Calibri" w:hAnsi="Calibri" w:eastAsia="宋体" w:cs="Times New Roman"/>
                <w:szCs w:val="24"/>
              </w:rPr>
            </w:pPr>
          </w:p>
        </w:tc>
      </w:tr>
      <w:tr w14:paraId="243C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02849F3F">
            <w:pPr>
              <w:jc w:val="center"/>
              <w:rPr>
                <w:rFonts w:ascii="Calibri" w:hAnsi="Calibri" w:eastAsia="宋体" w:cs="Times New Roman"/>
                <w:szCs w:val="24"/>
              </w:rPr>
            </w:pPr>
            <w:r>
              <w:rPr>
                <w:rFonts w:hint="eastAsia" w:ascii="Calibri" w:hAnsi="Calibri" w:eastAsia="宋体" w:cs="Times New Roman"/>
                <w:szCs w:val="24"/>
              </w:rPr>
              <w:t>2</w:t>
            </w:r>
          </w:p>
        </w:tc>
        <w:tc>
          <w:tcPr>
            <w:tcW w:w="3911" w:type="dxa"/>
            <w:vAlign w:val="center"/>
          </w:tcPr>
          <w:p w14:paraId="79EB2EAE">
            <w:pPr>
              <w:rPr>
                <w:rFonts w:ascii="Calibri" w:hAnsi="Calibri" w:eastAsia="宋体" w:cs="Times New Roman"/>
                <w:szCs w:val="24"/>
              </w:rPr>
            </w:pPr>
            <w:r>
              <w:rPr>
                <w:rFonts w:hint="eastAsia" w:ascii="Calibri" w:hAnsi="Calibri" w:eastAsia="宋体" w:cs="Times New Roman"/>
                <w:szCs w:val="24"/>
              </w:rPr>
              <w:t>不含税报价</w:t>
            </w:r>
          </w:p>
        </w:tc>
        <w:tc>
          <w:tcPr>
            <w:tcW w:w="2365" w:type="dxa"/>
            <w:vAlign w:val="center"/>
          </w:tcPr>
          <w:p w14:paraId="36FEEE35">
            <w:pPr>
              <w:rPr>
                <w:rFonts w:ascii="Calibri" w:hAnsi="Calibri" w:eastAsia="宋体" w:cs="Times New Roman"/>
                <w:szCs w:val="24"/>
              </w:rPr>
            </w:pPr>
          </w:p>
        </w:tc>
        <w:tc>
          <w:tcPr>
            <w:tcW w:w="2365" w:type="dxa"/>
            <w:vAlign w:val="center"/>
          </w:tcPr>
          <w:p w14:paraId="028066E6">
            <w:pPr>
              <w:rPr>
                <w:rFonts w:ascii="Calibri" w:hAnsi="Calibri" w:eastAsia="宋体" w:cs="Times New Roman"/>
                <w:szCs w:val="24"/>
              </w:rPr>
            </w:pPr>
            <w:r>
              <w:rPr>
                <w:rFonts w:hint="eastAsia" w:ascii="Calibri" w:hAnsi="Calibri" w:eastAsia="宋体" w:cs="Times New Roman"/>
                <w:szCs w:val="24"/>
              </w:rPr>
              <w:t>此项参与价格评分</w:t>
            </w:r>
          </w:p>
        </w:tc>
      </w:tr>
      <w:tr w14:paraId="125F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64DB2ECC">
            <w:pPr>
              <w:jc w:val="center"/>
              <w:rPr>
                <w:rFonts w:ascii="Calibri" w:hAnsi="Calibri" w:eastAsia="宋体" w:cs="Times New Roman"/>
                <w:szCs w:val="24"/>
              </w:rPr>
            </w:pPr>
            <w:r>
              <w:rPr>
                <w:rFonts w:hint="eastAsia" w:ascii="Calibri" w:hAnsi="Calibri" w:eastAsia="宋体" w:cs="Times New Roman"/>
                <w:szCs w:val="24"/>
              </w:rPr>
              <w:t>3</w:t>
            </w:r>
          </w:p>
        </w:tc>
        <w:tc>
          <w:tcPr>
            <w:tcW w:w="3911" w:type="dxa"/>
            <w:vAlign w:val="center"/>
          </w:tcPr>
          <w:p w14:paraId="4DD7DCBD">
            <w:pPr>
              <w:rPr>
                <w:rFonts w:ascii="Calibri" w:hAnsi="Calibri" w:eastAsia="宋体" w:cs="Times New Roman"/>
                <w:szCs w:val="24"/>
              </w:rPr>
            </w:pPr>
            <w:r>
              <w:rPr>
                <w:rFonts w:hint="eastAsia" w:ascii="Calibri" w:hAnsi="Calibri" w:eastAsia="宋体" w:cs="Times New Roman"/>
                <w:szCs w:val="24"/>
              </w:rPr>
              <w:t>增值税费</w:t>
            </w:r>
          </w:p>
        </w:tc>
        <w:tc>
          <w:tcPr>
            <w:tcW w:w="2365" w:type="dxa"/>
            <w:vAlign w:val="center"/>
          </w:tcPr>
          <w:p w14:paraId="4086ABA0">
            <w:pPr>
              <w:rPr>
                <w:rFonts w:ascii="Calibri" w:hAnsi="Calibri" w:eastAsia="宋体" w:cs="Times New Roman"/>
                <w:szCs w:val="24"/>
              </w:rPr>
            </w:pPr>
          </w:p>
        </w:tc>
        <w:tc>
          <w:tcPr>
            <w:tcW w:w="2365" w:type="dxa"/>
            <w:vAlign w:val="center"/>
          </w:tcPr>
          <w:p w14:paraId="43D3E7BE">
            <w:pPr>
              <w:rPr>
                <w:rFonts w:ascii="Calibri" w:hAnsi="Calibri" w:eastAsia="宋体" w:cs="Times New Roman"/>
                <w:szCs w:val="24"/>
              </w:rPr>
            </w:pPr>
          </w:p>
        </w:tc>
      </w:tr>
      <w:tr w14:paraId="7432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3C974AFA">
            <w:pPr>
              <w:jc w:val="center"/>
              <w:rPr>
                <w:rFonts w:ascii="Calibri" w:hAnsi="Calibri" w:eastAsia="宋体" w:cs="Times New Roman"/>
                <w:szCs w:val="24"/>
              </w:rPr>
            </w:pPr>
            <w:r>
              <w:rPr>
                <w:rFonts w:hint="eastAsia" w:ascii="Calibri" w:hAnsi="Calibri" w:eastAsia="宋体" w:cs="Times New Roman"/>
                <w:szCs w:val="24"/>
              </w:rPr>
              <w:t>4</w:t>
            </w:r>
          </w:p>
        </w:tc>
        <w:tc>
          <w:tcPr>
            <w:tcW w:w="3911" w:type="dxa"/>
            <w:vAlign w:val="center"/>
          </w:tcPr>
          <w:p w14:paraId="3A104DF4">
            <w:pPr>
              <w:rPr>
                <w:rFonts w:ascii="Calibri" w:hAnsi="Calibri" w:eastAsia="宋体" w:cs="Times New Roman"/>
                <w:szCs w:val="24"/>
              </w:rPr>
            </w:pPr>
            <w:r>
              <w:rPr>
                <w:rFonts w:hint="eastAsia" w:ascii="Calibri" w:hAnsi="Calibri" w:eastAsia="宋体" w:cs="Times New Roman"/>
                <w:szCs w:val="24"/>
              </w:rPr>
              <w:t>增值税专用发票税率（%）</w:t>
            </w:r>
          </w:p>
        </w:tc>
        <w:tc>
          <w:tcPr>
            <w:tcW w:w="2365" w:type="dxa"/>
            <w:vAlign w:val="center"/>
          </w:tcPr>
          <w:p w14:paraId="6455BFB6">
            <w:pPr>
              <w:rPr>
                <w:rFonts w:ascii="Calibri" w:hAnsi="Calibri" w:eastAsia="宋体" w:cs="Times New Roman"/>
                <w:szCs w:val="24"/>
              </w:rPr>
            </w:pPr>
          </w:p>
        </w:tc>
        <w:tc>
          <w:tcPr>
            <w:tcW w:w="2365" w:type="dxa"/>
            <w:vAlign w:val="center"/>
          </w:tcPr>
          <w:p w14:paraId="4F935746">
            <w:pPr>
              <w:rPr>
                <w:rFonts w:ascii="Calibri" w:hAnsi="Calibri" w:eastAsia="宋体" w:cs="Times New Roman"/>
                <w:szCs w:val="24"/>
              </w:rPr>
            </w:pPr>
          </w:p>
        </w:tc>
      </w:tr>
    </w:tbl>
    <w:p w14:paraId="727BE96B">
      <w:pPr>
        <w:spacing w:line="400" w:lineRule="exact"/>
        <w:rPr>
          <w:rFonts w:ascii="仿宋_GB2312" w:hAnsi="宋体" w:eastAsia="仿宋_GB2312" w:cs="Times New Roman"/>
          <w:bCs/>
          <w:szCs w:val="21"/>
        </w:rPr>
      </w:pPr>
    </w:p>
    <w:p w14:paraId="219A1966">
      <w:pPr>
        <w:spacing w:line="400" w:lineRule="exact"/>
        <w:rPr>
          <w:rFonts w:ascii="仿宋_GB2312" w:hAnsi="宋体" w:eastAsia="仿宋_GB2312" w:cs="Times New Roman"/>
          <w:bCs/>
          <w:szCs w:val="21"/>
        </w:rPr>
      </w:pPr>
      <w:r>
        <w:rPr>
          <w:rFonts w:hint="eastAsia" w:ascii="仿宋_GB2312" w:hAnsi="宋体" w:eastAsia="仿宋_GB2312" w:cs="Times New Roman"/>
          <w:bCs/>
          <w:szCs w:val="21"/>
        </w:rPr>
        <w:t>竞投人全称（公章）:</w:t>
      </w:r>
    </w:p>
    <w:p w14:paraId="767BCCD9">
      <w:pPr>
        <w:tabs>
          <w:tab w:val="left" w:pos="3600"/>
        </w:tabs>
        <w:spacing w:line="400" w:lineRule="exact"/>
        <w:rPr>
          <w:rFonts w:ascii="仿宋_GB2312" w:hAnsi="宋体" w:eastAsia="仿宋_GB2312" w:cs="Times New Roman"/>
          <w:bCs/>
          <w:szCs w:val="21"/>
        </w:rPr>
      </w:pPr>
      <w:r>
        <w:rPr>
          <w:rFonts w:hint="eastAsia" w:ascii="仿宋_GB2312" w:hAnsi="宋体" w:eastAsia="仿宋_GB2312" w:cs="Times New Roman"/>
          <w:bCs/>
          <w:szCs w:val="21"/>
        </w:rPr>
        <w:t>法定代表人或其竞投人授权代表(</w:t>
      </w:r>
      <w:r>
        <w:rPr>
          <w:rFonts w:hint="eastAsia" w:ascii="仿宋_GB2312" w:hAnsi="宋体" w:eastAsia="仿宋_GB2312" w:cs="Times New Roman"/>
          <w:b/>
          <w:szCs w:val="21"/>
        </w:rPr>
        <w:t>签字</w:t>
      </w:r>
      <w:r>
        <w:rPr>
          <w:rFonts w:hint="eastAsia" w:ascii="仿宋_GB2312" w:hAnsi="宋体" w:eastAsia="仿宋_GB2312" w:cs="Times New Roman"/>
          <w:bCs/>
          <w:szCs w:val="21"/>
        </w:rPr>
        <w:t>)：</w:t>
      </w:r>
    </w:p>
    <w:p w14:paraId="408A217E">
      <w:pPr>
        <w:spacing w:before="120" w:after="120" w:line="400" w:lineRule="exact"/>
        <w:rPr>
          <w:rFonts w:ascii="仿宋_GB2312" w:hAnsi="宋体" w:eastAsia="仿宋_GB2312" w:cs="Times New Roman"/>
          <w:bCs/>
          <w:szCs w:val="21"/>
        </w:rPr>
      </w:pPr>
      <w:r>
        <w:rPr>
          <w:rFonts w:hint="eastAsia" w:ascii="仿宋_GB2312" w:hAnsi="宋体" w:eastAsia="仿宋_GB2312" w:cs="Times New Roman"/>
          <w:bCs/>
          <w:szCs w:val="21"/>
        </w:rPr>
        <w:t>日    期：         年      月     日</w:t>
      </w:r>
    </w:p>
    <w:p w14:paraId="204ECEA0">
      <w:pPr>
        <w:spacing w:line="400" w:lineRule="exact"/>
        <w:rPr>
          <w:rFonts w:ascii="Calibri" w:hAnsi="Calibri" w:eastAsia="宋体" w:cs="Times New Roman"/>
          <w:szCs w:val="24"/>
        </w:rPr>
      </w:pPr>
    </w:p>
    <w:p w14:paraId="6B86D619">
      <w:pPr>
        <w:spacing w:line="400" w:lineRule="exact"/>
        <w:jc w:val="left"/>
        <w:rPr>
          <w:rFonts w:ascii="仿宋_GB2312" w:hAnsi="仿宋_GB2312" w:eastAsia="仿宋_GB2312" w:cs="仿宋_GB2312"/>
          <w:szCs w:val="21"/>
        </w:rPr>
      </w:pPr>
    </w:p>
    <w:p w14:paraId="1ADD5C2D">
      <w:pPr>
        <w:spacing w:line="400" w:lineRule="exact"/>
        <w:jc w:val="left"/>
        <w:rPr>
          <w:rFonts w:ascii="仿宋_GB2312" w:hAnsi="仿宋_GB2312" w:eastAsia="仿宋_GB2312" w:cs="仿宋_GB2312"/>
          <w:szCs w:val="21"/>
        </w:rPr>
      </w:pPr>
    </w:p>
    <w:p w14:paraId="23ACB031">
      <w:pPr>
        <w:spacing w:line="400" w:lineRule="exact"/>
        <w:jc w:val="left"/>
        <w:rPr>
          <w:rFonts w:ascii="仿宋_GB2312" w:hAnsi="仿宋_GB2312" w:eastAsia="仿宋_GB2312" w:cs="仿宋_GB2312"/>
          <w:szCs w:val="21"/>
        </w:rPr>
      </w:pPr>
    </w:p>
    <w:p w14:paraId="070057BB">
      <w:pPr>
        <w:spacing w:line="400" w:lineRule="exact"/>
        <w:jc w:val="left"/>
        <w:rPr>
          <w:rFonts w:ascii="仿宋_GB2312" w:hAnsi="仿宋_GB2312" w:eastAsia="仿宋_GB2312" w:cs="仿宋_GB2312"/>
          <w:szCs w:val="21"/>
        </w:rPr>
      </w:pPr>
    </w:p>
    <w:p w14:paraId="2662A389">
      <w:pPr>
        <w:spacing w:line="400" w:lineRule="exact"/>
        <w:jc w:val="left"/>
        <w:rPr>
          <w:rFonts w:ascii="仿宋_GB2312" w:hAnsi="仿宋_GB2312" w:eastAsia="仿宋_GB2312" w:cs="仿宋_GB2312"/>
          <w:szCs w:val="21"/>
        </w:rPr>
      </w:pPr>
    </w:p>
    <w:p w14:paraId="16DB604F">
      <w:pPr>
        <w:spacing w:line="400" w:lineRule="exact"/>
        <w:jc w:val="left"/>
        <w:rPr>
          <w:rFonts w:ascii="仿宋_GB2312" w:hAnsi="仿宋_GB2312" w:eastAsia="仿宋_GB2312" w:cs="仿宋_GB2312"/>
          <w:szCs w:val="21"/>
        </w:rPr>
      </w:pPr>
    </w:p>
    <w:p w14:paraId="007375E7">
      <w:pPr>
        <w:spacing w:line="400" w:lineRule="exact"/>
        <w:jc w:val="left"/>
        <w:rPr>
          <w:rFonts w:ascii="仿宋_GB2312" w:hAnsi="仿宋_GB2312" w:eastAsia="仿宋_GB2312" w:cs="仿宋_GB2312"/>
          <w:szCs w:val="21"/>
        </w:rPr>
      </w:pPr>
    </w:p>
    <w:p w14:paraId="4351819B">
      <w:pPr>
        <w:spacing w:line="400" w:lineRule="exact"/>
        <w:jc w:val="left"/>
        <w:rPr>
          <w:rFonts w:ascii="仿宋_GB2312" w:hAnsi="仿宋_GB2312" w:eastAsia="仿宋_GB2312" w:cs="仿宋_GB2312"/>
          <w:szCs w:val="21"/>
        </w:rPr>
      </w:pPr>
    </w:p>
    <w:p w14:paraId="3303701C">
      <w:pPr>
        <w:spacing w:line="400" w:lineRule="exact"/>
        <w:jc w:val="left"/>
        <w:rPr>
          <w:rFonts w:ascii="仿宋_GB2312" w:hAnsi="仿宋_GB2312" w:eastAsia="仿宋_GB2312" w:cs="仿宋_GB2312"/>
          <w:szCs w:val="21"/>
        </w:rPr>
      </w:pPr>
    </w:p>
    <w:p w14:paraId="59C210B2">
      <w:pPr>
        <w:spacing w:line="400" w:lineRule="exact"/>
        <w:jc w:val="left"/>
        <w:rPr>
          <w:rFonts w:ascii="仿宋_GB2312" w:hAnsi="仿宋_GB2312" w:eastAsia="仿宋_GB2312" w:cs="仿宋_GB2312"/>
          <w:szCs w:val="21"/>
        </w:rPr>
      </w:pPr>
    </w:p>
    <w:p w14:paraId="113CC152">
      <w:pPr>
        <w:spacing w:line="400" w:lineRule="exact"/>
        <w:jc w:val="left"/>
        <w:rPr>
          <w:rFonts w:ascii="仿宋_GB2312" w:hAnsi="仿宋_GB2312" w:eastAsia="仿宋_GB2312" w:cs="仿宋_GB2312"/>
          <w:szCs w:val="21"/>
        </w:rPr>
      </w:pPr>
    </w:p>
    <w:p w14:paraId="622DB570">
      <w:pPr>
        <w:spacing w:line="400" w:lineRule="exact"/>
        <w:jc w:val="left"/>
        <w:rPr>
          <w:rFonts w:ascii="仿宋_GB2312" w:hAnsi="仿宋_GB2312" w:eastAsia="仿宋_GB2312" w:cs="仿宋_GB2312"/>
          <w:szCs w:val="21"/>
        </w:rPr>
      </w:pPr>
    </w:p>
    <w:p w14:paraId="14DB0E85">
      <w:pPr>
        <w:spacing w:line="400" w:lineRule="exact"/>
        <w:jc w:val="left"/>
        <w:rPr>
          <w:rFonts w:ascii="仿宋_GB2312" w:hAnsi="仿宋_GB2312" w:eastAsia="仿宋_GB2312" w:cs="仿宋_GB2312"/>
          <w:szCs w:val="21"/>
        </w:rPr>
      </w:pPr>
    </w:p>
    <w:p w14:paraId="677D16F1">
      <w:pPr>
        <w:spacing w:line="400" w:lineRule="exact"/>
        <w:jc w:val="left"/>
        <w:rPr>
          <w:rFonts w:ascii="仿宋_GB2312" w:hAnsi="仿宋_GB2312" w:eastAsia="仿宋_GB2312" w:cs="仿宋_GB2312"/>
          <w:szCs w:val="21"/>
        </w:rPr>
      </w:pPr>
    </w:p>
    <w:p w14:paraId="5EDF4C11">
      <w:pPr>
        <w:spacing w:line="400" w:lineRule="exact"/>
        <w:jc w:val="left"/>
        <w:rPr>
          <w:rFonts w:ascii="仿宋_GB2312" w:hAnsi="仿宋_GB2312" w:eastAsia="仿宋_GB2312" w:cs="仿宋_GB2312"/>
          <w:szCs w:val="21"/>
        </w:rPr>
      </w:pPr>
    </w:p>
    <w:p w14:paraId="6870B2D8">
      <w:pPr>
        <w:spacing w:line="400" w:lineRule="exact"/>
        <w:jc w:val="left"/>
        <w:rPr>
          <w:rFonts w:ascii="仿宋_GB2312" w:hAnsi="仿宋_GB2312" w:eastAsia="仿宋_GB2312" w:cs="仿宋_GB2312"/>
          <w:szCs w:val="21"/>
        </w:rPr>
      </w:pPr>
    </w:p>
    <w:bookmarkEnd w:id="13"/>
    <w:p w14:paraId="615732BC">
      <w:pPr>
        <w:keepNext/>
        <w:keepLines/>
        <w:spacing w:before="260" w:after="260" w:line="400" w:lineRule="exact"/>
        <w:outlineLvl w:val="1"/>
        <w:rPr>
          <w:rFonts w:ascii="仿宋_GB2312" w:hAnsi="Arial" w:eastAsia="仿宋_GB2312" w:cs="Times New Roman"/>
          <w:bCs/>
          <w:sz w:val="24"/>
          <w:szCs w:val="32"/>
        </w:rPr>
      </w:pPr>
      <w:bookmarkStart w:id="14" w:name="_Toc334797774"/>
      <w:r>
        <w:rPr>
          <w:rFonts w:ascii="仿宋_GB2312" w:hAnsi="Arial" w:eastAsia="仿宋_GB2312" w:cs="Times New Roman"/>
          <w:b/>
          <w:bCs/>
          <w:sz w:val="32"/>
          <w:szCs w:val="32"/>
        </w:rPr>
        <w:br w:type="page"/>
      </w:r>
      <w:bookmarkEnd w:id="14"/>
      <w:r>
        <w:rPr>
          <w:rFonts w:hint="eastAsia" w:ascii="仿宋_GB2312" w:hAnsi="Arial" w:eastAsia="仿宋_GB2312" w:cs="Times New Roman"/>
          <w:bCs/>
          <w:sz w:val="24"/>
          <w:szCs w:val="24"/>
        </w:rPr>
        <w:t>附件5</w:t>
      </w:r>
    </w:p>
    <w:p w14:paraId="19BB0485">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资格文件声明的函</w:t>
      </w:r>
    </w:p>
    <w:p w14:paraId="775C7D68">
      <w:pPr>
        <w:widowControl/>
        <w:tabs>
          <w:tab w:val="left" w:pos="7380"/>
        </w:tabs>
        <w:spacing w:line="480" w:lineRule="atLeast"/>
        <w:rPr>
          <w:rFonts w:ascii="宋体" w:hAnsi="宋体" w:eastAsia="宋体" w:cs="Times New Roman"/>
          <w:sz w:val="24"/>
          <w:szCs w:val="24"/>
        </w:rPr>
      </w:pPr>
    </w:p>
    <w:p w14:paraId="17472D9C">
      <w:pPr>
        <w:widowControl/>
        <w:tabs>
          <w:tab w:val="left" w:pos="7380"/>
        </w:tabs>
        <w:spacing w:line="480" w:lineRule="atLeast"/>
        <w:rPr>
          <w:rFonts w:ascii="仿宋_GB2312" w:hAnsi="宋体" w:eastAsia="仿宋_GB2312" w:cs="Times New Roman"/>
          <w:szCs w:val="21"/>
        </w:rPr>
      </w:pPr>
      <w:r>
        <w:rPr>
          <w:rFonts w:hint="eastAsia" w:ascii="仿宋_GB2312" w:hAnsi="宋体" w:eastAsia="仿宋_GB2312" w:cs="Times New Roman"/>
          <w:szCs w:val="21"/>
        </w:rPr>
        <w:t>广州市城壹房地产</w:t>
      </w:r>
      <w:r>
        <w:rPr>
          <w:rFonts w:hint="eastAsia" w:ascii="仿宋_GB2312" w:hAnsi="宋体" w:eastAsia="仿宋_GB2312" w:cs="Times New Roman"/>
          <w:szCs w:val="21"/>
          <w:lang w:val="en-US" w:eastAsia="zh-CN"/>
        </w:rPr>
        <w:t>顾问</w:t>
      </w:r>
      <w:r>
        <w:rPr>
          <w:rFonts w:hint="eastAsia" w:ascii="仿宋_GB2312" w:hAnsi="宋体" w:eastAsia="仿宋_GB2312" w:cs="Times New Roman"/>
          <w:szCs w:val="21"/>
        </w:rPr>
        <w:t>有限公司：</w:t>
      </w:r>
    </w:p>
    <w:p w14:paraId="7545484E">
      <w:pPr>
        <w:widowControl/>
        <w:tabs>
          <w:tab w:val="left" w:pos="7380"/>
        </w:tabs>
        <w:spacing w:line="480" w:lineRule="atLeast"/>
        <w:rPr>
          <w:rFonts w:ascii="仿宋_GB2312" w:hAnsi="宋体" w:eastAsia="仿宋_GB2312" w:cs="Times New Roman"/>
          <w:szCs w:val="21"/>
        </w:rPr>
      </w:pPr>
    </w:p>
    <w:p w14:paraId="7A3B2E04">
      <w:pPr>
        <w:spacing w:line="360" w:lineRule="auto"/>
        <w:rPr>
          <w:rFonts w:ascii="仿宋_GB2312" w:hAnsi="宋体" w:eastAsia="仿宋_GB2312" w:cs="Times New Roman"/>
          <w:szCs w:val="21"/>
        </w:rPr>
      </w:pPr>
      <w:r>
        <w:rPr>
          <w:rFonts w:hint="eastAsia" w:ascii="仿宋_GB2312" w:hAnsi="宋体" w:eastAsia="仿宋_GB2312" w:cs="Times New Roman"/>
          <w:szCs w:val="21"/>
        </w:rPr>
        <w:t>关于贵方</w:t>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rPr>
        <w:t>项目的</w:t>
      </w:r>
      <w:r>
        <w:rPr>
          <w:rFonts w:hint="eastAsia" w:ascii="仿宋_GB2312" w:hAnsi="宋体" w:eastAsia="仿宋_GB2312" w:cs="Times New Roman"/>
          <w:szCs w:val="21"/>
          <w:lang w:val="en-US" w:eastAsia="zh-CN"/>
        </w:rPr>
        <w:t>竞选</w:t>
      </w:r>
      <w:r>
        <w:rPr>
          <w:rFonts w:hint="eastAsia" w:ascii="仿宋_GB2312" w:hAnsi="宋体" w:eastAsia="仿宋_GB2312" w:cs="Times New Roman"/>
          <w:szCs w:val="21"/>
        </w:rPr>
        <w:t>，本签字人愿意参加竞投，并证明提交的资格文件和说明是准确的和真实的，并对所提交的资格文件的准确性和真实性负责。</w:t>
      </w:r>
    </w:p>
    <w:p w14:paraId="1202A319">
      <w:pPr>
        <w:widowControl/>
        <w:tabs>
          <w:tab w:val="left" w:pos="7380"/>
        </w:tabs>
        <w:spacing w:line="480" w:lineRule="atLeast"/>
        <w:rPr>
          <w:rFonts w:ascii="仿宋_GB2312" w:hAnsi="宋体" w:eastAsia="仿宋_GB2312" w:cs="Times New Roman"/>
          <w:szCs w:val="21"/>
        </w:rPr>
      </w:pPr>
      <w:r>
        <w:rPr>
          <w:rFonts w:hint="eastAsia" w:ascii="仿宋_GB2312" w:hAnsi="宋体" w:eastAsia="仿宋_GB2312" w:cs="Times New Roman"/>
          <w:szCs w:val="21"/>
        </w:rPr>
        <w:t>本竞投人授权贵方及本项目</w:t>
      </w:r>
      <w:r>
        <w:rPr>
          <w:rFonts w:hint="eastAsia" w:ascii="仿宋_GB2312" w:hAnsi="宋体" w:eastAsia="仿宋_GB2312" w:cs="Times New Roman"/>
          <w:szCs w:val="21"/>
          <w:lang w:val="en-US" w:eastAsia="zh-CN"/>
        </w:rPr>
        <w:t>竞选</w:t>
      </w:r>
      <w:r>
        <w:rPr>
          <w:rFonts w:hint="eastAsia" w:ascii="仿宋_GB2312" w:hAnsi="宋体" w:eastAsia="仿宋_GB2312" w:cs="Times New Roman"/>
          <w:szCs w:val="21"/>
        </w:rPr>
        <w:t>人可以向我单位开户银行查询我单位的财务状况。</w:t>
      </w:r>
    </w:p>
    <w:p w14:paraId="725B6430">
      <w:pPr>
        <w:tabs>
          <w:tab w:val="left" w:pos="7380"/>
        </w:tabs>
        <w:spacing w:line="300" w:lineRule="auto"/>
        <w:rPr>
          <w:rFonts w:ascii="仿宋_GB2312" w:hAnsi="宋体" w:eastAsia="仿宋_GB2312" w:cs="Times New Roman"/>
          <w:szCs w:val="21"/>
        </w:rPr>
      </w:pPr>
    </w:p>
    <w:p w14:paraId="3D281246">
      <w:pPr>
        <w:tabs>
          <w:tab w:val="left" w:pos="7380"/>
        </w:tabs>
        <w:spacing w:line="300" w:lineRule="auto"/>
        <w:rPr>
          <w:rFonts w:ascii="仿宋_GB2312" w:hAnsi="宋体" w:eastAsia="仿宋_GB2312" w:cs="Times New Roman"/>
          <w:szCs w:val="21"/>
        </w:rPr>
      </w:pPr>
      <w:r>
        <w:rPr>
          <w:rFonts w:hint="eastAsia" w:ascii="仿宋_GB2312" w:hAnsi="宋体" w:eastAsia="仿宋_GB2312" w:cs="Times New Roman"/>
          <w:szCs w:val="21"/>
        </w:rPr>
        <w:t>承诺：</w:t>
      </w:r>
    </w:p>
    <w:p w14:paraId="195B4968">
      <w:pPr>
        <w:spacing w:line="480" w:lineRule="exact"/>
        <w:rPr>
          <w:rFonts w:ascii="仿宋_GB2312" w:hAnsi="宋体" w:eastAsia="仿宋_GB2312" w:cs="Times New Roman"/>
          <w:szCs w:val="21"/>
        </w:rPr>
      </w:pPr>
      <w:r>
        <w:rPr>
          <w:rFonts w:hint="eastAsia" w:ascii="仿宋_GB2312" w:hAnsi="宋体" w:eastAsia="仿宋_GB2312" w:cs="Times New Roman"/>
          <w:szCs w:val="21"/>
        </w:rPr>
        <w:t>1）我司没有被责令停业或破产状态的；</w:t>
      </w:r>
    </w:p>
    <w:p w14:paraId="7CC498F7">
      <w:pPr>
        <w:spacing w:line="480" w:lineRule="exact"/>
        <w:rPr>
          <w:rFonts w:ascii="仿宋_GB2312" w:hAnsi="宋体" w:eastAsia="仿宋_GB2312" w:cs="Times New Roman"/>
          <w:szCs w:val="21"/>
        </w:rPr>
      </w:pPr>
      <w:r>
        <w:rPr>
          <w:rFonts w:hint="eastAsia" w:ascii="仿宋_GB2312" w:hAnsi="宋体" w:eastAsia="仿宋_GB2312" w:cs="Times New Roman"/>
          <w:szCs w:val="21"/>
        </w:rPr>
        <w:t>2）我司没有被暂停或取消竞投资格的；</w:t>
      </w:r>
    </w:p>
    <w:p w14:paraId="355E442B">
      <w:pPr>
        <w:spacing w:line="480" w:lineRule="exact"/>
        <w:rPr>
          <w:rFonts w:ascii="仿宋_GB2312" w:hAnsi="宋体" w:eastAsia="仿宋_GB2312" w:cs="Times New Roman"/>
          <w:szCs w:val="21"/>
        </w:rPr>
      </w:pPr>
      <w:r>
        <w:rPr>
          <w:rFonts w:hint="eastAsia" w:ascii="仿宋_GB2312" w:hAnsi="宋体" w:eastAsia="仿宋_GB2312" w:cs="Times New Roman"/>
          <w:szCs w:val="21"/>
        </w:rPr>
        <w:t>3）我司没有财产被重组、接管、查封、扣押或冻结的；</w:t>
      </w:r>
    </w:p>
    <w:p w14:paraId="7D8E5240">
      <w:pPr>
        <w:spacing w:line="480" w:lineRule="exact"/>
        <w:rPr>
          <w:rFonts w:ascii="仿宋_GB2312" w:hAnsi="宋体" w:eastAsia="仿宋_GB2312" w:cs="Times New Roman"/>
          <w:szCs w:val="21"/>
        </w:rPr>
      </w:pPr>
      <w:r>
        <w:rPr>
          <w:rFonts w:hint="eastAsia" w:ascii="仿宋_GB2312" w:hAnsi="宋体" w:eastAsia="仿宋_GB2312" w:cs="Times New Roman"/>
          <w:szCs w:val="21"/>
        </w:rPr>
        <w:t>4）我司没有在营业期间有骗取中标或严重违约的；</w:t>
      </w:r>
    </w:p>
    <w:p w14:paraId="03A19C78">
      <w:pPr>
        <w:spacing w:line="480" w:lineRule="exact"/>
        <w:rPr>
          <w:rFonts w:ascii="仿宋_GB2312" w:hAnsi="宋体" w:eastAsia="仿宋_GB2312" w:cs="Times New Roman"/>
          <w:szCs w:val="21"/>
        </w:rPr>
      </w:pPr>
      <w:r>
        <w:rPr>
          <w:rFonts w:hint="eastAsia" w:ascii="仿宋_GB2312" w:hAnsi="宋体" w:eastAsia="仿宋_GB2312" w:cs="Times New Roman"/>
          <w:szCs w:val="21"/>
        </w:rPr>
        <w:t>5）我司（含与此申请人有资产关系的母子公司、关联公司）没有在政府、银行、酒店、旅游业及相关行业采购或服务中有不良记录的，其竞投产品在使用过程中出现过重大质量问题且未妥善解决的。</w:t>
      </w:r>
    </w:p>
    <w:p w14:paraId="07046D2E">
      <w:pPr>
        <w:tabs>
          <w:tab w:val="left" w:pos="7380"/>
        </w:tabs>
        <w:spacing w:line="300" w:lineRule="auto"/>
        <w:rPr>
          <w:rFonts w:ascii="仿宋_GB2312" w:hAnsi="宋体" w:eastAsia="仿宋_GB2312" w:cs="Times New Roman"/>
          <w:szCs w:val="21"/>
        </w:rPr>
      </w:pPr>
    </w:p>
    <w:p w14:paraId="73FA3BD8">
      <w:pPr>
        <w:tabs>
          <w:tab w:val="left" w:pos="7380"/>
        </w:tabs>
        <w:spacing w:line="300" w:lineRule="auto"/>
        <w:rPr>
          <w:rFonts w:ascii="仿宋_GB2312" w:hAnsi="宋体" w:eastAsia="仿宋_GB2312" w:cs="Times New Roman"/>
          <w:szCs w:val="21"/>
        </w:rPr>
      </w:pPr>
    </w:p>
    <w:p w14:paraId="65F18889">
      <w:pPr>
        <w:spacing w:line="300" w:lineRule="auto"/>
        <w:rPr>
          <w:rFonts w:ascii="仿宋_GB2312" w:hAnsi="宋体" w:eastAsia="仿宋_GB2312" w:cs="Times New Roman"/>
          <w:szCs w:val="21"/>
        </w:rPr>
      </w:pPr>
      <w:r>
        <w:rPr>
          <w:rFonts w:hint="eastAsia" w:ascii="仿宋_GB2312" w:hAnsi="宋体" w:eastAsia="仿宋_GB2312" w:cs="Times New Roman"/>
          <w:szCs w:val="21"/>
          <w:lang w:val="en-US" w:eastAsia="zh-CN"/>
        </w:rPr>
        <w:t>竞投</w:t>
      </w:r>
      <w:r>
        <w:rPr>
          <w:rFonts w:hint="eastAsia" w:ascii="仿宋_GB2312" w:hAnsi="宋体" w:eastAsia="仿宋_GB2312" w:cs="Times New Roman"/>
          <w:szCs w:val="21"/>
        </w:rPr>
        <w:t>人名称:</w:t>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u w:val="single"/>
        </w:rPr>
        <w:tab/>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rPr>
        <w:t>（公章）</w:t>
      </w:r>
    </w:p>
    <w:p w14:paraId="1399E8BB">
      <w:pPr>
        <w:spacing w:line="300" w:lineRule="auto"/>
        <w:rPr>
          <w:rFonts w:ascii="仿宋_GB2312" w:hAnsi="宋体" w:eastAsia="仿宋_GB2312" w:cs="Times New Roman"/>
          <w:szCs w:val="21"/>
        </w:rPr>
      </w:pPr>
    </w:p>
    <w:p w14:paraId="04E5E0EF">
      <w:pPr>
        <w:spacing w:line="300" w:lineRule="auto"/>
        <w:rPr>
          <w:rFonts w:ascii="仿宋_GB2312" w:hAnsi="宋体" w:eastAsia="仿宋_GB2312" w:cs="Times New Roman"/>
          <w:szCs w:val="21"/>
          <w:u w:val="single"/>
        </w:rPr>
      </w:pPr>
      <w:r>
        <w:rPr>
          <w:rFonts w:hint="eastAsia" w:ascii="仿宋_GB2312" w:hAnsi="宋体" w:eastAsia="仿宋_GB2312" w:cs="Times New Roman"/>
          <w:szCs w:val="24"/>
          <w:lang w:val="en-US" w:eastAsia="zh-CN"/>
        </w:rPr>
        <w:t>竞投</w:t>
      </w:r>
      <w:r>
        <w:rPr>
          <w:rFonts w:hint="eastAsia" w:ascii="仿宋_GB2312" w:hAnsi="宋体" w:eastAsia="仿宋_GB2312" w:cs="Times New Roman"/>
          <w:szCs w:val="24"/>
        </w:rPr>
        <w:t>人授权代表签字</w:t>
      </w:r>
      <w:r>
        <w:rPr>
          <w:rFonts w:hint="eastAsia" w:ascii="仿宋_GB2312" w:hAnsi="宋体" w:eastAsia="仿宋_GB2312" w:cs="Times New Roman"/>
          <w:szCs w:val="21"/>
        </w:rPr>
        <w:t>（签名）：</w:t>
      </w:r>
      <w:r>
        <w:rPr>
          <w:rFonts w:hint="eastAsia" w:ascii="仿宋_GB2312" w:hAnsi="宋体" w:eastAsia="仿宋_GB2312" w:cs="Times New Roman"/>
          <w:szCs w:val="21"/>
          <w:u w:val="single"/>
        </w:rPr>
        <w:t xml:space="preserve">                  </w:t>
      </w:r>
    </w:p>
    <w:p w14:paraId="6CF1079E">
      <w:pPr>
        <w:spacing w:line="300" w:lineRule="auto"/>
        <w:rPr>
          <w:rFonts w:ascii="仿宋_GB2312" w:hAnsi="宋体" w:eastAsia="仿宋_GB2312" w:cs="Times New Roman"/>
          <w:szCs w:val="21"/>
          <w:u w:val="single"/>
        </w:rPr>
      </w:pPr>
    </w:p>
    <w:p w14:paraId="38399EBE">
      <w:pPr>
        <w:spacing w:line="300" w:lineRule="auto"/>
        <w:rPr>
          <w:rFonts w:ascii="仿宋_GB2312" w:hAnsi="宋体" w:eastAsia="仿宋_GB2312" w:cs="Times New Roman"/>
          <w:szCs w:val="21"/>
        </w:rPr>
      </w:pPr>
      <w:r>
        <w:rPr>
          <w:rFonts w:hint="eastAsia" w:ascii="仿宋_GB2312" w:hAnsi="宋体" w:eastAsia="仿宋_GB2312" w:cs="Times New Roman"/>
          <w:szCs w:val="21"/>
        </w:rPr>
        <w:t>日期：  年   月   日</w:t>
      </w:r>
    </w:p>
    <w:p w14:paraId="4B9B8D1E">
      <w:pPr>
        <w:spacing w:line="300" w:lineRule="auto"/>
        <w:rPr>
          <w:rFonts w:ascii="宋体" w:hAnsi="宋体" w:eastAsia="宋体" w:cs="Times New Roman"/>
          <w:sz w:val="24"/>
          <w:szCs w:val="24"/>
        </w:rPr>
      </w:pPr>
    </w:p>
    <w:p w14:paraId="31E0EB12">
      <w:pPr>
        <w:keepNext/>
        <w:keepLines/>
        <w:spacing w:before="260" w:after="260" w:line="400" w:lineRule="exact"/>
        <w:outlineLvl w:val="1"/>
        <w:rPr>
          <w:rFonts w:ascii="仿宋_GB2312" w:hAnsi="Arial" w:eastAsia="仿宋_GB2312" w:cs="Times New Roman"/>
          <w:b/>
          <w:bCs/>
          <w:szCs w:val="21"/>
        </w:rPr>
      </w:pPr>
      <w:r>
        <w:rPr>
          <w:rFonts w:ascii="宋体" w:hAnsi="宋体" w:eastAsia="黑体" w:cs="Times New Roman"/>
          <w:b/>
          <w:bCs/>
          <w:sz w:val="24"/>
          <w:szCs w:val="32"/>
        </w:rPr>
        <w:br w:type="page"/>
      </w:r>
      <w:r>
        <w:rPr>
          <w:rFonts w:hint="eastAsia" w:ascii="仿宋_GB2312" w:hAnsi="Arial" w:eastAsia="仿宋_GB2312" w:cs="Times New Roman"/>
          <w:bCs/>
          <w:sz w:val="24"/>
          <w:szCs w:val="24"/>
        </w:rPr>
        <w:t>附件6</w:t>
      </w:r>
    </w:p>
    <w:p w14:paraId="7D1923D9">
      <w:pPr>
        <w:keepNext/>
        <w:keepLines/>
        <w:spacing w:before="260" w:after="260" w:line="400" w:lineRule="exact"/>
        <w:jc w:val="center"/>
        <w:outlineLvl w:val="1"/>
        <w:rPr>
          <w:rFonts w:ascii="宋体" w:hAnsi="宋体" w:eastAsia="黑体" w:cs="Times New Roman"/>
          <w:b/>
          <w:bCs/>
          <w:sz w:val="28"/>
          <w:szCs w:val="28"/>
        </w:rPr>
      </w:pPr>
      <w:r>
        <w:rPr>
          <w:rFonts w:hint="eastAsia" w:ascii="仿宋_GB2312" w:hAnsi="宋体" w:eastAsia="仿宋_GB2312" w:cs="宋体"/>
          <w:b/>
          <w:bCs/>
          <w:sz w:val="32"/>
          <w:szCs w:val="32"/>
        </w:rPr>
        <w:t>业绩一览表</w:t>
      </w:r>
    </w:p>
    <w:p w14:paraId="5D37FB12">
      <w:pPr>
        <w:spacing w:line="400" w:lineRule="exact"/>
        <w:jc w:val="center"/>
        <w:rPr>
          <w:rFonts w:ascii="宋体" w:hAnsi="宋体" w:eastAsia="宋体" w:cs="Times New Roman"/>
          <w:b/>
          <w:bCs/>
          <w:sz w:val="28"/>
          <w:szCs w:val="28"/>
        </w:rPr>
      </w:pPr>
    </w:p>
    <w:tbl>
      <w:tblPr>
        <w:tblStyle w:val="6"/>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559"/>
        <w:gridCol w:w="1488"/>
        <w:gridCol w:w="2197"/>
        <w:gridCol w:w="1210"/>
        <w:gridCol w:w="1811"/>
      </w:tblGrid>
      <w:tr w14:paraId="0E264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11" w:type="dxa"/>
            <w:tcBorders>
              <w:top w:val="single" w:color="auto" w:sz="6" w:space="0"/>
              <w:left w:val="single" w:color="auto" w:sz="6" w:space="0"/>
              <w:bottom w:val="single" w:color="auto" w:sz="6" w:space="0"/>
              <w:right w:val="single" w:color="auto" w:sz="6" w:space="0"/>
            </w:tcBorders>
            <w:vAlign w:val="center"/>
          </w:tcPr>
          <w:p w14:paraId="1A691D3E">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559" w:type="dxa"/>
            <w:tcBorders>
              <w:top w:val="single" w:color="auto" w:sz="6" w:space="0"/>
              <w:left w:val="single" w:color="auto" w:sz="6" w:space="0"/>
              <w:bottom w:val="single" w:color="auto" w:sz="6" w:space="0"/>
              <w:right w:val="single" w:color="auto" w:sz="6" w:space="0"/>
            </w:tcBorders>
            <w:vAlign w:val="center"/>
          </w:tcPr>
          <w:p w14:paraId="0534DC3E">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客户名称</w:t>
            </w:r>
          </w:p>
        </w:tc>
        <w:tc>
          <w:tcPr>
            <w:tcW w:w="1488" w:type="dxa"/>
            <w:tcBorders>
              <w:top w:val="single" w:color="auto" w:sz="6" w:space="0"/>
              <w:left w:val="single" w:color="auto" w:sz="6" w:space="0"/>
              <w:bottom w:val="single" w:color="auto" w:sz="6" w:space="0"/>
              <w:right w:val="single" w:color="auto" w:sz="6" w:space="0"/>
            </w:tcBorders>
            <w:vAlign w:val="center"/>
          </w:tcPr>
          <w:p w14:paraId="4CC77544">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项目名称</w:t>
            </w:r>
          </w:p>
        </w:tc>
        <w:tc>
          <w:tcPr>
            <w:tcW w:w="2197" w:type="dxa"/>
            <w:tcBorders>
              <w:top w:val="single" w:color="auto" w:sz="6" w:space="0"/>
              <w:left w:val="single" w:color="auto" w:sz="6" w:space="0"/>
              <w:bottom w:val="single" w:color="auto" w:sz="6" w:space="0"/>
              <w:right w:val="single" w:color="auto" w:sz="6" w:space="0"/>
            </w:tcBorders>
            <w:vAlign w:val="center"/>
          </w:tcPr>
          <w:p w14:paraId="78076FF4">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合同总价（含税）</w:t>
            </w:r>
          </w:p>
        </w:tc>
        <w:tc>
          <w:tcPr>
            <w:tcW w:w="1210" w:type="dxa"/>
            <w:tcBorders>
              <w:top w:val="single" w:color="auto" w:sz="6" w:space="0"/>
              <w:left w:val="single" w:color="auto" w:sz="6" w:space="0"/>
              <w:bottom w:val="single" w:color="auto" w:sz="6" w:space="0"/>
              <w:right w:val="single" w:color="auto" w:sz="6" w:space="0"/>
            </w:tcBorders>
            <w:vAlign w:val="center"/>
          </w:tcPr>
          <w:p w14:paraId="0484ADC1">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签约时间</w:t>
            </w:r>
          </w:p>
        </w:tc>
        <w:tc>
          <w:tcPr>
            <w:tcW w:w="1811" w:type="dxa"/>
            <w:tcBorders>
              <w:top w:val="single" w:color="auto" w:sz="6" w:space="0"/>
              <w:left w:val="single" w:color="auto" w:sz="6" w:space="0"/>
              <w:bottom w:val="single" w:color="auto" w:sz="6" w:space="0"/>
              <w:right w:val="single" w:color="auto" w:sz="6" w:space="0"/>
            </w:tcBorders>
            <w:vAlign w:val="center"/>
          </w:tcPr>
          <w:p w14:paraId="7B82B643">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项目验收情况</w:t>
            </w:r>
          </w:p>
        </w:tc>
      </w:tr>
      <w:tr w14:paraId="0956B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14:paraId="214C38EF">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59" w:type="dxa"/>
            <w:tcBorders>
              <w:top w:val="single" w:color="auto" w:sz="6" w:space="0"/>
              <w:left w:val="single" w:color="auto" w:sz="6" w:space="0"/>
              <w:bottom w:val="single" w:color="auto" w:sz="6" w:space="0"/>
              <w:right w:val="single" w:color="auto" w:sz="6" w:space="0"/>
            </w:tcBorders>
          </w:tcPr>
          <w:p w14:paraId="12EF32D5">
            <w:pPr>
              <w:spacing w:line="400" w:lineRule="exact"/>
              <w:rPr>
                <w:rFonts w:hint="eastAsia" w:ascii="仿宋_GB2312" w:hAnsi="仿宋_GB2312" w:eastAsia="仿宋_GB2312" w:cs="仿宋_GB2312"/>
                <w:sz w:val="24"/>
                <w:szCs w:val="24"/>
              </w:rPr>
            </w:pPr>
          </w:p>
        </w:tc>
        <w:tc>
          <w:tcPr>
            <w:tcW w:w="1488" w:type="dxa"/>
            <w:tcBorders>
              <w:top w:val="single" w:color="auto" w:sz="6" w:space="0"/>
              <w:left w:val="single" w:color="auto" w:sz="6" w:space="0"/>
              <w:bottom w:val="single" w:color="auto" w:sz="6" w:space="0"/>
              <w:right w:val="single" w:color="auto" w:sz="6" w:space="0"/>
            </w:tcBorders>
          </w:tcPr>
          <w:p w14:paraId="00B0FEE7">
            <w:pPr>
              <w:spacing w:line="400" w:lineRule="exact"/>
              <w:rPr>
                <w:rFonts w:hint="eastAsia" w:ascii="仿宋_GB2312" w:hAnsi="仿宋_GB2312" w:eastAsia="仿宋_GB2312" w:cs="仿宋_GB2312"/>
                <w:sz w:val="24"/>
                <w:szCs w:val="24"/>
              </w:rPr>
            </w:pPr>
          </w:p>
        </w:tc>
        <w:tc>
          <w:tcPr>
            <w:tcW w:w="2197" w:type="dxa"/>
            <w:tcBorders>
              <w:top w:val="single" w:color="auto" w:sz="6" w:space="0"/>
              <w:left w:val="single" w:color="auto" w:sz="6" w:space="0"/>
              <w:bottom w:val="single" w:color="auto" w:sz="6" w:space="0"/>
              <w:right w:val="single" w:color="auto" w:sz="6" w:space="0"/>
            </w:tcBorders>
          </w:tcPr>
          <w:p w14:paraId="2BAAB3D1">
            <w:pPr>
              <w:spacing w:line="400" w:lineRule="exact"/>
              <w:rPr>
                <w:rFonts w:hint="eastAsia" w:ascii="仿宋_GB2312" w:hAnsi="仿宋_GB2312" w:eastAsia="仿宋_GB2312" w:cs="仿宋_GB2312"/>
                <w:sz w:val="24"/>
                <w:szCs w:val="24"/>
              </w:rPr>
            </w:pPr>
          </w:p>
        </w:tc>
        <w:tc>
          <w:tcPr>
            <w:tcW w:w="1210" w:type="dxa"/>
            <w:tcBorders>
              <w:top w:val="single" w:color="auto" w:sz="6" w:space="0"/>
              <w:left w:val="single" w:color="auto" w:sz="6" w:space="0"/>
              <w:bottom w:val="single" w:color="auto" w:sz="6" w:space="0"/>
              <w:right w:val="single" w:color="auto" w:sz="6" w:space="0"/>
            </w:tcBorders>
          </w:tcPr>
          <w:p w14:paraId="0BFD5358">
            <w:pPr>
              <w:spacing w:line="400" w:lineRule="exact"/>
              <w:rPr>
                <w:rFonts w:hint="eastAsia" w:ascii="仿宋_GB2312" w:hAnsi="仿宋_GB2312" w:eastAsia="仿宋_GB2312" w:cs="仿宋_GB2312"/>
                <w:sz w:val="24"/>
                <w:szCs w:val="24"/>
              </w:rPr>
            </w:pPr>
          </w:p>
        </w:tc>
        <w:tc>
          <w:tcPr>
            <w:tcW w:w="1811" w:type="dxa"/>
            <w:tcBorders>
              <w:top w:val="single" w:color="auto" w:sz="6" w:space="0"/>
              <w:left w:val="single" w:color="auto" w:sz="6" w:space="0"/>
              <w:bottom w:val="single" w:color="auto" w:sz="6" w:space="0"/>
              <w:right w:val="single" w:color="auto" w:sz="6" w:space="0"/>
            </w:tcBorders>
          </w:tcPr>
          <w:p w14:paraId="67C12F29">
            <w:pPr>
              <w:spacing w:line="400" w:lineRule="exact"/>
              <w:rPr>
                <w:rFonts w:hint="eastAsia" w:ascii="仿宋_GB2312" w:hAnsi="仿宋_GB2312" w:eastAsia="仿宋_GB2312" w:cs="仿宋_GB2312"/>
                <w:sz w:val="24"/>
                <w:szCs w:val="24"/>
              </w:rPr>
            </w:pPr>
          </w:p>
        </w:tc>
      </w:tr>
      <w:tr w14:paraId="51CAF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14:paraId="6D307CA6">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59" w:type="dxa"/>
            <w:tcBorders>
              <w:top w:val="single" w:color="auto" w:sz="6" w:space="0"/>
              <w:left w:val="single" w:color="auto" w:sz="6" w:space="0"/>
              <w:bottom w:val="single" w:color="auto" w:sz="6" w:space="0"/>
              <w:right w:val="single" w:color="auto" w:sz="6" w:space="0"/>
            </w:tcBorders>
          </w:tcPr>
          <w:p w14:paraId="626ACFA4">
            <w:pPr>
              <w:spacing w:line="400" w:lineRule="exact"/>
              <w:rPr>
                <w:rFonts w:hint="eastAsia" w:ascii="仿宋_GB2312" w:hAnsi="仿宋_GB2312" w:eastAsia="仿宋_GB2312" w:cs="仿宋_GB2312"/>
                <w:sz w:val="24"/>
                <w:szCs w:val="24"/>
              </w:rPr>
            </w:pPr>
          </w:p>
        </w:tc>
        <w:tc>
          <w:tcPr>
            <w:tcW w:w="1488" w:type="dxa"/>
            <w:tcBorders>
              <w:top w:val="single" w:color="auto" w:sz="6" w:space="0"/>
              <w:left w:val="single" w:color="auto" w:sz="6" w:space="0"/>
              <w:bottom w:val="single" w:color="auto" w:sz="6" w:space="0"/>
              <w:right w:val="single" w:color="auto" w:sz="6" w:space="0"/>
            </w:tcBorders>
          </w:tcPr>
          <w:p w14:paraId="3E5F7B60">
            <w:pPr>
              <w:spacing w:line="400" w:lineRule="exact"/>
              <w:rPr>
                <w:rFonts w:hint="eastAsia" w:ascii="仿宋_GB2312" w:hAnsi="仿宋_GB2312" w:eastAsia="仿宋_GB2312" w:cs="仿宋_GB2312"/>
                <w:sz w:val="24"/>
                <w:szCs w:val="24"/>
              </w:rPr>
            </w:pPr>
          </w:p>
        </w:tc>
        <w:tc>
          <w:tcPr>
            <w:tcW w:w="2197" w:type="dxa"/>
            <w:tcBorders>
              <w:top w:val="single" w:color="auto" w:sz="6" w:space="0"/>
              <w:left w:val="single" w:color="auto" w:sz="6" w:space="0"/>
              <w:bottom w:val="single" w:color="auto" w:sz="6" w:space="0"/>
              <w:right w:val="single" w:color="auto" w:sz="6" w:space="0"/>
            </w:tcBorders>
          </w:tcPr>
          <w:p w14:paraId="41F3FA2A">
            <w:pPr>
              <w:spacing w:line="400" w:lineRule="exact"/>
              <w:rPr>
                <w:rFonts w:hint="eastAsia" w:ascii="仿宋_GB2312" w:hAnsi="仿宋_GB2312" w:eastAsia="仿宋_GB2312" w:cs="仿宋_GB2312"/>
                <w:sz w:val="24"/>
                <w:szCs w:val="24"/>
              </w:rPr>
            </w:pPr>
          </w:p>
        </w:tc>
        <w:tc>
          <w:tcPr>
            <w:tcW w:w="1210" w:type="dxa"/>
            <w:tcBorders>
              <w:top w:val="single" w:color="auto" w:sz="6" w:space="0"/>
              <w:left w:val="single" w:color="auto" w:sz="6" w:space="0"/>
              <w:bottom w:val="single" w:color="auto" w:sz="6" w:space="0"/>
              <w:right w:val="single" w:color="auto" w:sz="6" w:space="0"/>
            </w:tcBorders>
          </w:tcPr>
          <w:p w14:paraId="45F9B4EE">
            <w:pPr>
              <w:spacing w:line="400" w:lineRule="exact"/>
              <w:rPr>
                <w:rFonts w:hint="eastAsia" w:ascii="仿宋_GB2312" w:hAnsi="仿宋_GB2312" w:eastAsia="仿宋_GB2312" w:cs="仿宋_GB2312"/>
                <w:sz w:val="24"/>
                <w:szCs w:val="24"/>
              </w:rPr>
            </w:pPr>
          </w:p>
        </w:tc>
        <w:tc>
          <w:tcPr>
            <w:tcW w:w="1811" w:type="dxa"/>
            <w:tcBorders>
              <w:top w:val="single" w:color="auto" w:sz="6" w:space="0"/>
              <w:left w:val="single" w:color="auto" w:sz="6" w:space="0"/>
              <w:bottom w:val="single" w:color="auto" w:sz="6" w:space="0"/>
              <w:right w:val="single" w:color="auto" w:sz="6" w:space="0"/>
            </w:tcBorders>
          </w:tcPr>
          <w:p w14:paraId="5A203C17">
            <w:pPr>
              <w:spacing w:line="400" w:lineRule="exact"/>
              <w:rPr>
                <w:rFonts w:hint="eastAsia" w:ascii="仿宋_GB2312" w:hAnsi="仿宋_GB2312" w:eastAsia="仿宋_GB2312" w:cs="仿宋_GB2312"/>
                <w:sz w:val="24"/>
                <w:szCs w:val="24"/>
              </w:rPr>
            </w:pPr>
          </w:p>
        </w:tc>
      </w:tr>
      <w:tr w14:paraId="0ED6A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14:paraId="673827D0">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559" w:type="dxa"/>
            <w:tcBorders>
              <w:top w:val="single" w:color="auto" w:sz="6" w:space="0"/>
              <w:left w:val="single" w:color="auto" w:sz="6" w:space="0"/>
              <w:bottom w:val="single" w:color="auto" w:sz="6" w:space="0"/>
              <w:right w:val="single" w:color="auto" w:sz="6" w:space="0"/>
            </w:tcBorders>
          </w:tcPr>
          <w:p w14:paraId="6C8A0417">
            <w:pPr>
              <w:spacing w:line="400" w:lineRule="exact"/>
              <w:rPr>
                <w:rFonts w:hint="eastAsia" w:ascii="仿宋_GB2312" w:hAnsi="仿宋_GB2312" w:eastAsia="仿宋_GB2312" w:cs="仿宋_GB2312"/>
                <w:sz w:val="24"/>
                <w:szCs w:val="24"/>
              </w:rPr>
            </w:pPr>
          </w:p>
        </w:tc>
        <w:tc>
          <w:tcPr>
            <w:tcW w:w="1488" w:type="dxa"/>
            <w:tcBorders>
              <w:top w:val="single" w:color="auto" w:sz="6" w:space="0"/>
              <w:left w:val="single" w:color="auto" w:sz="6" w:space="0"/>
              <w:bottom w:val="single" w:color="auto" w:sz="6" w:space="0"/>
              <w:right w:val="single" w:color="auto" w:sz="6" w:space="0"/>
            </w:tcBorders>
          </w:tcPr>
          <w:p w14:paraId="4999C480">
            <w:pPr>
              <w:spacing w:line="400" w:lineRule="exact"/>
              <w:rPr>
                <w:rFonts w:hint="eastAsia" w:ascii="仿宋_GB2312" w:hAnsi="仿宋_GB2312" w:eastAsia="仿宋_GB2312" w:cs="仿宋_GB2312"/>
                <w:sz w:val="24"/>
                <w:szCs w:val="24"/>
              </w:rPr>
            </w:pPr>
          </w:p>
        </w:tc>
        <w:tc>
          <w:tcPr>
            <w:tcW w:w="2197" w:type="dxa"/>
            <w:tcBorders>
              <w:top w:val="single" w:color="auto" w:sz="6" w:space="0"/>
              <w:left w:val="single" w:color="auto" w:sz="6" w:space="0"/>
              <w:bottom w:val="single" w:color="auto" w:sz="6" w:space="0"/>
              <w:right w:val="single" w:color="auto" w:sz="6" w:space="0"/>
            </w:tcBorders>
          </w:tcPr>
          <w:p w14:paraId="6273230D">
            <w:pPr>
              <w:spacing w:line="400" w:lineRule="exact"/>
              <w:rPr>
                <w:rFonts w:hint="eastAsia" w:ascii="仿宋_GB2312" w:hAnsi="仿宋_GB2312" w:eastAsia="仿宋_GB2312" w:cs="仿宋_GB2312"/>
                <w:sz w:val="24"/>
                <w:szCs w:val="24"/>
              </w:rPr>
            </w:pPr>
          </w:p>
        </w:tc>
        <w:tc>
          <w:tcPr>
            <w:tcW w:w="1210" w:type="dxa"/>
            <w:tcBorders>
              <w:top w:val="single" w:color="auto" w:sz="6" w:space="0"/>
              <w:left w:val="single" w:color="auto" w:sz="6" w:space="0"/>
              <w:bottom w:val="single" w:color="auto" w:sz="6" w:space="0"/>
              <w:right w:val="single" w:color="auto" w:sz="6" w:space="0"/>
            </w:tcBorders>
          </w:tcPr>
          <w:p w14:paraId="749A7339">
            <w:pPr>
              <w:spacing w:line="400" w:lineRule="exact"/>
              <w:rPr>
                <w:rFonts w:hint="eastAsia" w:ascii="仿宋_GB2312" w:hAnsi="仿宋_GB2312" w:eastAsia="仿宋_GB2312" w:cs="仿宋_GB2312"/>
                <w:sz w:val="24"/>
                <w:szCs w:val="24"/>
              </w:rPr>
            </w:pPr>
          </w:p>
        </w:tc>
        <w:tc>
          <w:tcPr>
            <w:tcW w:w="1811" w:type="dxa"/>
            <w:tcBorders>
              <w:top w:val="single" w:color="auto" w:sz="6" w:space="0"/>
              <w:left w:val="single" w:color="auto" w:sz="6" w:space="0"/>
              <w:bottom w:val="single" w:color="auto" w:sz="6" w:space="0"/>
              <w:right w:val="single" w:color="auto" w:sz="6" w:space="0"/>
            </w:tcBorders>
          </w:tcPr>
          <w:p w14:paraId="35043C72">
            <w:pPr>
              <w:spacing w:line="400" w:lineRule="exact"/>
              <w:rPr>
                <w:rFonts w:hint="eastAsia" w:ascii="仿宋_GB2312" w:hAnsi="仿宋_GB2312" w:eastAsia="仿宋_GB2312" w:cs="仿宋_GB2312"/>
                <w:sz w:val="24"/>
                <w:szCs w:val="24"/>
              </w:rPr>
            </w:pPr>
          </w:p>
        </w:tc>
      </w:tr>
    </w:tbl>
    <w:p w14:paraId="6AB250F3">
      <w:pPr>
        <w:spacing w:line="400" w:lineRule="exact"/>
        <w:rPr>
          <w:rFonts w:ascii="仿宋_GB2312" w:hAnsi="宋体" w:eastAsia="仿宋_GB2312" w:cs="Times New Roman"/>
          <w:szCs w:val="24"/>
        </w:rPr>
      </w:pPr>
      <w:r>
        <w:rPr>
          <w:rFonts w:hint="eastAsia" w:ascii="仿宋_GB2312" w:hAnsi="宋体" w:eastAsia="仿宋_GB2312" w:cs="Times New Roman"/>
          <w:szCs w:val="24"/>
        </w:rPr>
        <w:t>注：依据业绩评审中的业绩要求填写本表，提供相关证明材料及过往业绩，合同可只提供首页、含金额页、盖章页。如无同类型服务项目经验，请填上“无同类型服务项目经验”并加盖公章。</w:t>
      </w:r>
    </w:p>
    <w:p w14:paraId="7FA35003">
      <w:pPr>
        <w:spacing w:line="400" w:lineRule="exact"/>
        <w:rPr>
          <w:rFonts w:ascii="仿宋_GB2312" w:hAnsi="宋体" w:eastAsia="仿宋_GB2312" w:cs="Times New Roman"/>
          <w:szCs w:val="21"/>
        </w:rPr>
      </w:pPr>
    </w:p>
    <w:p w14:paraId="09FEC4EF">
      <w:pPr>
        <w:spacing w:line="400" w:lineRule="exact"/>
        <w:rPr>
          <w:rFonts w:ascii="仿宋_GB2312" w:hAnsi="宋体" w:eastAsia="仿宋_GB2312" w:cs="Times New Roman"/>
          <w:szCs w:val="21"/>
        </w:rPr>
      </w:pPr>
    </w:p>
    <w:p w14:paraId="7962EF9C">
      <w:pPr>
        <w:spacing w:line="400" w:lineRule="exact"/>
        <w:rPr>
          <w:rFonts w:ascii="仿宋_GB2312" w:hAnsi="宋体" w:eastAsia="仿宋_GB2312" w:cs="Times New Roman"/>
          <w:szCs w:val="21"/>
        </w:rPr>
      </w:pPr>
      <w:r>
        <w:rPr>
          <w:rFonts w:hint="eastAsia" w:ascii="仿宋_GB2312" w:hAnsi="宋体" w:eastAsia="仿宋_GB2312" w:cs="Times New Roman"/>
          <w:szCs w:val="21"/>
        </w:rPr>
        <w:t xml:space="preserve">竞投人名称: </w:t>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rPr>
        <w:t>（公章）</w:t>
      </w:r>
    </w:p>
    <w:p w14:paraId="7A2DEB93">
      <w:pPr>
        <w:spacing w:line="400" w:lineRule="exact"/>
        <w:rPr>
          <w:rFonts w:ascii="仿宋_GB2312" w:hAnsi="宋体" w:eastAsia="仿宋_GB2312" w:cs="Times New Roman"/>
          <w:szCs w:val="21"/>
        </w:rPr>
      </w:pPr>
    </w:p>
    <w:p w14:paraId="5A14CE9D">
      <w:pPr>
        <w:spacing w:line="400" w:lineRule="exact"/>
        <w:rPr>
          <w:rFonts w:ascii="仿宋_GB2312" w:hAnsi="宋体" w:eastAsia="仿宋_GB2312" w:cs="Times New Roman"/>
          <w:szCs w:val="21"/>
          <w:u w:val="single"/>
        </w:rPr>
      </w:pPr>
      <w:r>
        <w:rPr>
          <w:rFonts w:hint="eastAsia" w:ascii="仿宋_GB2312" w:hAnsi="宋体" w:eastAsia="仿宋_GB2312" w:cs="Times New Roman"/>
          <w:szCs w:val="24"/>
        </w:rPr>
        <w:t>竞投人授权代表签字</w:t>
      </w:r>
      <w:r>
        <w:rPr>
          <w:rFonts w:hint="eastAsia" w:ascii="仿宋_GB2312" w:hAnsi="宋体" w:eastAsia="仿宋_GB2312" w:cs="Times New Roman"/>
          <w:szCs w:val="21"/>
        </w:rPr>
        <w:t>（签名）：</w:t>
      </w:r>
      <w:r>
        <w:rPr>
          <w:rFonts w:hint="eastAsia" w:ascii="仿宋_GB2312" w:hAnsi="宋体" w:eastAsia="仿宋_GB2312" w:cs="Times New Roman"/>
          <w:szCs w:val="21"/>
          <w:u w:val="single"/>
        </w:rPr>
        <w:t xml:space="preserve">               </w:t>
      </w:r>
    </w:p>
    <w:p w14:paraId="24A3D69A">
      <w:pPr>
        <w:spacing w:line="400" w:lineRule="exact"/>
        <w:rPr>
          <w:rFonts w:ascii="仿宋_GB2312" w:hAnsi="宋体" w:eastAsia="仿宋_GB2312" w:cs="Times New Roman"/>
          <w:szCs w:val="21"/>
          <w:u w:val="single"/>
        </w:rPr>
      </w:pPr>
    </w:p>
    <w:p w14:paraId="1E4F933D">
      <w:pPr>
        <w:spacing w:line="400" w:lineRule="exact"/>
        <w:rPr>
          <w:rFonts w:ascii="仿宋_GB2312" w:hAnsi="宋体" w:eastAsia="仿宋_GB2312" w:cs="Times New Roman"/>
          <w:szCs w:val="24"/>
        </w:rPr>
      </w:pPr>
      <w:r>
        <w:rPr>
          <w:rFonts w:hint="eastAsia" w:ascii="仿宋_GB2312" w:hAnsi="宋体" w:eastAsia="仿宋_GB2312" w:cs="Times New Roman"/>
          <w:szCs w:val="24"/>
        </w:rPr>
        <w:t>日期：  年   月   日</w:t>
      </w:r>
    </w:p>
    <w:p w14:paraId="4A85E6AA">
      <w:pPr>
        <w:spacing w:line="400" w:lineRule="exact"/>
        <w:rPr>
          <w:rFonts w:ascii="宋体" w:hAnsi="宋体" w:eastAsia="宋体" w:cs="Times New Roman"/>
          <w:szCs w:val="24"/>
        </w:rPr>
      </w:pPr>
    </w:p>
    <w:p w14:paraId="6DC469B7">
      <w:pPr>
        <w:spacing w:line="400" w:lineRule="exact"/>
        <w:rPr>
          <w:rFonts w:ascii="宋体" w:hAnsi="宋体" w:eastAsia="宋体" w:cs="Times New Roman"/>
          <w:szCs w:val="24"/>
        </w:rPr>
      </w:pPr>
    </w:p>
    <w:p w14:paraId="0C1CAF99">
      <w:pPr>
        <w:spacing w:line="400" w:lineRule="exact"/>
        <w:rPr>
          <w:rFonts w:ascii="宋体" w:hAnsi="宋体" w:eastAsia="宋体" w:cs="Times New Roman"/>
          <w:szCs w:val="24"/>
        </w:rPr>
      </w:pPr>
    </w:p>
    <w:p w14:paraId="31A4DCF2">
      <w:pPr>
        <w:spacing w:line="400" w:lineRule="exact"/>
        <w:rPr>
          <w:rFonts w:ascii="宋体" w:hAnsi="宋体" w:eastAsia="宋体" w:cs="Times New Roman"/>
          <w:szCs w:val="24"/>
        </w:rPr>
      </w:pPr>
    </w:p>
    <w:p w14:paraId="3C8BC41A">
      <w:pPr>
        <w:spacing w:line="400" w:lineRule="exact"/>
        <w:rPr>
          <w:rFonts w:ascii="宋体" w:hAnsi="宋体" w:eastAsia="宋体" w:cs="Times New Roman"/>
          <w:szCs w:val="24"/>
        </w:rPr>
      </w:pPr>
    </w:p>
    <w:p w14:paraId="4969E2B9">
      <w:pPr>
        <w:spacing w:line="400" w:lineRule="exact"/>
        <w:rPr>
          <w:rFonts w:ascii="宋体" w:hAnsi="宋体" w:eastAsia="宋体" w:cs="Times New Roman"/>
          <w:szCs w:val="24"/>
        </w:rPr>
      </w:pPr>
    </w:p>
    <w:p w14:paraId="242E2EF1">
      <w:pPr>
        <w:spacing w:line="400" w:lineRule="exact"/>
        <w:rPr>
          <w:rFonts w:ascii="宋体" w:hAnsi="宋体" w:eastAsia="宋体" w:cs="Times New Roman"/>
          <w:szCs w:val="24"/>
        </w:rPr>
      </w:pPr>
    </w:p>
    <w:p w14:paraId="788E0AFB">
      <w:pPr>
        <w:spacing w:line="400" w:lineRule="exact"/>
        <w:rPr>
          <w:rFonts w:ascii="宋体" w:hAnsi="宋体" w:eastAsia="宋体" w:cs="Times New Roman"/>
          <w:szCs w:val="24"/>
        </w:rPr>
      </w:pPr>
    </w:p>
    <w:p w14:paraId="138892D7">
      <w:pPr>
        <w:spacing w:line="400" w:lineRule="exact"/>
        <w:rPr>
          <w:rFonts w:ascii="宋体" w:hAnsi="宋体" w:eastAsia="宋体" w:cs="Times New Roman"/>
          <w:szCs w:val="24"/>
        </w:rPr>
      </w:pPr>
    </w:p>
    <w:p w14:paraId="623A3B8D">
      <w:pPr>
        <w:spacing w:line="400" w:lineRule="exact"/>
        <w:rPr>
          <w:rFonts w:ascii="宋体" w:hAnsi="宋体" w:eastAsia="宋体" w:cs="Times New Roman"/>
          <w:szCs w:val="24"/>
        </w:rPr>
      </w:pPr>
    </w:p>
    <w:p w14:paraId="44ADC131">
      <w:pPr>
        <w:spacing w:line="400" w:lineRule="exact"/>
        <w:rPr>
          <w:rFonts w:ascii="宋体" w:hAnsi="宋体" w:eastAsia="宋体" w:cs="Times New Roman"/>
          <w:szCs w:val="24"/>
        </w:rPr>
      </w:pPr>
    </w:p>
    <w:p w14:paraId="3799CD39">
      <w:pPr>
        <w:spacing w:line="400" w:lineRule="exact"/>
        <w:rPr>
          <w:rFonts w:ascii="宋体" w:hAnsi="宋体" w:eastAsia="宋体" w:cs="Times New Roman"/>
          <w:szCs w:val="24"/>
        </w:rPr>
      </w:pPr>
    </w:p>
    <w:p w14:paraId="4281695A">
      <w:pPr>
        <w:spacing w:line="400" w:lineRule="exact"/>
        <w:rPr>
          <w:rFonts w:ascii="宋体" w:hAnsi="宋体" w:eastAsia="宋体" w:cs="Times New Roman"/>
          <w:szCs w:val="24"/>
        </w:rPr>
      </w:pPr>
    </w:p>
    <w:p w14:paraId="508DECA0">
      <w:pPr>
        <w:keepNext/>
        <w:keepLines/>
        <w:spacing w:before="260" w:after="260" w:line="400" w:lineRule="exact"/>
        <w:outlineLvl w:val="1"/>
        <w:rPr>
          <w:rFonts w:ascii="宋体" w:hAnsi="宋体" w:eastAsia="黑体" w:cs="Times New Roman"/>
          <w:bCs/>
          <w:sz w:val="24"/>
          <w:szCs w:val="32"/>
        </w:rPr>
      </w:pPr>
      <w:r>
        <w:rPr>
          <w:rFonts w:hint="eastAsia" w:ascii="仿宋_GB2312" w:hAnsi="Arial" w:eastAsia="仿宋_GB2312" w:cs="Times New Roman"/>
          <w:bCs/>
          <w:sz w:val="24"/>
          <w:szCs w:val="24"/>
        </w:rPr>
        <w:t xml:space="preserve">附件7 </w:t>
      </w:r>
      <w:r>
        <w:rPr>
          <w:rFonts w:hint="eastAsia" w:ascii="宋体" w:hAnsi="宋体" w:eastAsia="黑体" w:cs="Times New Roman"/>
          <w:b/>
          <w:bCs/>
          <w:sz w:val="24"/>
          <w:szCs w:val="32"/>
        </w:rPr>
        <w:t xml:space="preserve">           </w:t>
      </w:r>
    </w:p>
    <w:p w14:paraId="25720E02">
      <w:pPr>
        <w:spacing w:line="300" w:lineRule="auto"/>
        <w:jc w:val="center"/>
        <w:rPr>
          <w:rFonts w:ascii="宋体" w:hAnsi="宋体" w:eastAsia="宋体" w:cs="Times New Roman"/>
          <w:b/>
          <w:bCs/>
          <w:sz w:val="28"/>
          <w:szCs w:val="28"/>
        </w:rPr>
      </w:pPr>
    </w:p>
    <w:p w14:paraId="5A6078C2">
      <w:pPr>
        <w:spacing w:line="300" w:lineRule="auto"/>
        <w:jc w:val="center"/>
        <w:rPr>
          <w:rFonts w:hint="eastAsia" w:ascii="仿宋_GB2312" w:hAnsi="宋体" w:eastAsia="仿宋_GB2312" w:cs="宋体"/>
          <w:b/>
          <w:bCs/>
          <w:spacing w:val="20"/>
          <w:kern w:val="44"/>
          <w:sz w:val="32"/>
          <w:szCs w:val="32"/>
          <w:lang w:val="en-US" w:eastAsia="zh-CN"/>
        </w:rPr>
      </w:pPr>
      <w:r>
        <w:rPr>
          <w:rFonts w:hint="eastAsia" w:ascii="仿宋_GB2312" w:hAnsi="宋体" w:eastAsia="仿宋_GB2312" w:cs="宋体"/>
          <w:b/>
          <w:bCs/>
          <w:spacing w:val="20"/>
          <w:kern w:val="44"/>
          <w:sz w:val="32"/>
          <w:szCs w:val="32"/>
        </w:rPr>
        <w:t>花果山超高清视频产业特色小镇项目定位策划报告合作</w:t>
      </w:r>
      <w:r>
        <w:rPr>
          <w:rFonts w:hint="eastAsia" w:ascii="仿宋_GB2312" w:hAnsi="宋体" w:eastAsia="仿宋_GB2312" w:cs="宋体"/>
          <w:b/>
          <w:bCs/>
          <w:spacing w:val="20"/>
          <w:kern w:val="44"/>
          <w:sz w:val="32"/>
          <w:szCs w:val="32"/>
          <w:lang w:val="en-US" w:eastAsia="zh-CN"/>
        </w:rPr>
        <w:t>项目</w:t>
      </w:r>
    </w:p>
    <w:p w14:paraId="0909A47A">
      <w:pPr>
        <w:spacing w:line="300" w:lineRule="auto"/>
        <w:jc w:val="center"/>
        <w:rPr>
          <w:rFonts w:ascii="宋体" w:hAnsi="宋体" w:eastAsia="宋体" w:cs="Times New Roman"/>
          <w:szCs w:val="21"/>
        </w:rPr>
      </w:pPr>
      <w:r>
        <w:rPr>
          <w:rFonts w:hint="eastAsia" w:ascii="仿宋_GB2312" w:hAnsi="宋体" w:eastAsia="仿宋_GB2312" w:cs="宋体"/>
          <w:b/>
          <w:bCs/>
          <w:sz w:val="32"/>
          <w:szCs w:val="32"/>
          <w:lang w:val="en-US" w:eastAsia="zh-CN"/>
        </w:rPr>
        <w:t>服务建议书</w:t>
      </w:r>
    </w:p>
    <w:p w14:paraId="10DE5682">
      <w:pPr>
        <w:spacing w:line="300" w:lineRule="auto"/>
        <w:rPr>
          <w:rFonts w:ascii="仿宋" w:hAnsi="仿宋" w:eastAsia="仿宋" w:cs="Times New Roman"/>
          <w:szCs w:val="21"/>
        </w:rPr>
      </w:pPr>
      <w:r>
        <w:rPr>
          <w:rFonts w:hint="eastAsia" w:ascii="仿宋" w:hAnsi="仿宋" w:eastAsia="仿宋" w:cs="Times New Roman"/>
          <w:szCs w:val="21"/>
        </w:rPr>
        <w:t>格式自定，编制对应目录。</w:t>
      </w:r>
    </w:p>
    <w:p w14:paraId="469739A3">
      <w:pPr>
        <w:spacing w:line="300" w:lineRule="auto"/>
        <w:rPr>
          <w:rFonts w:hint="eastAsia" w:ascii="仿宋" w:hAnsi="仿宋" w:eastAsia="仿宋" w:cs="Times New Roman"/>
          <w:szCs w:val="21"/>
          <w:lang w:eastAsia="zh-CN"/>
        </w:rPr>
      </w:pPr>
      <w:r>
        <w:rPr>
          <w:rFonts w:hint="eastAsia" w:ascii="仿宋" w:hAnsi="仿宋" w:eastAsia="仿宋" w:cs="Times New Roman"/>
          <w:szCs w:val="21"/>
        </w:rPr>
        <w:t>内容包括但不限于：</w:t>
      </w:r>
    </w:p>
    <w:p w14:paraId="6E95D0EC">
      <w:pPr>
        <w:spacing w:line="300" w:lineRule="auto"/>
        <w:rPr>
          <w:rFonts w:hint="eastAsia" w:ascii="仿宋" w:hAnsi="仿宋" w:eastAsia="仿宋" w:cs="Arial Unicode MS"/>
          <w:szCs w:val="18"/>
          <w:lang w:eastAsia="zh-CN"/>
        </w:rPr>
      </w:pPr>
      <w:r>
        <w:rPr>
          <w:rFonts w:hint="eastAsia" w:ascii="仿宋" w:hAnsi="仿宋" w:eastAsia="仿宋" w:cs="Arial Unicode MS"/>
          <w:szCs w:val="18"/>
        </w:rPr>
        <w:t>（一）项目</w:t>
      </w:r>
      <w:r>
        <w:rPr>
          <w:rFonts w:hint="eastAsia" w:ascii="仿宋" w:hAnsi="仿宋" w:eastAsia="仿宋" w:cs="Arial Unicode MS"/>
          <w:szCs w:val="18"/>
          <w:lang w:val="en-US" w:eastAsia="zh-CN"/>
        </w:rPr>
        <w:t>基本情况分析</w:t>
      </w:r>
    </w:p>
    <w:p w14:paraId="111479DF">
      <w:pPr>
        <w:spacing w:line="300" w:lineRule="auto"/>
        <w:rPr>
          <w:rFonts w:hint="eastAsia" w:ascii="仿宋" w:hAnsi="仿宋" w:eastAsia="仿宋" w:cs="Times New Roman"/>
          <w:szCs w:val="21"/>
          <w:lang w:val="en-US" w:eastAsia="zh-CN"/>
        </w:rPr>
      </w:pPr>
      <w:r>
        <w:rPr>
          <w:rFonts w:hint="eastAsia" w:ascii="仿宋" w:hAnsi="仿宋" w:eastAsia="仿宋" w:cs="Times New Roman"/>
          <w:szCs w:val="21"/>
        </w:rPr>
        <w:t>（二）片区规划及发展</w:t>
      </w:r>
    </w:p>
    <w:p w14:paraId="1A9A76A5">
      <w:pPr>
        <w:spacing w:line="300" w:lineRule="auto"/>
        <w:rPr>
          <w:rFonts w:hint="default" w:ascii="仿宋" w:hAnsi="仿宋" w:eastAsia="仿宋" w:cs="Times New Roman"/>
          <w:szCs w:val="21"/>
          <w:lang w:val="en-US" w:eastAsia="zh-CN"/>
        </w:rPr>
      </w:pPr>
      <w:r>
        <w:rPr>
          <w:rFonts w:hint="eastAsia" w:ascii="仿宋" w:hAnsi="仿宋" w:eastAsia="仿宋" w:cs="Times New Roman"/>
          <w:szCs w:val="21"/>
        </w:rPr>
        <w:t>（三）</w:t>
      </w:r>
      <w:r>
        <w:rPr>
          <w:rFonts w:hint="eastAsia" w:ascii="仿宋" w:hAnsi="仿宋" w:eastAsia="仿宋" w:cs="Times New Roman"/>
          <w:szCs w:val="21"/>
          <w:lang w:val="en-US" w:eastAsia="zh-CN"/>
        </w:rPr>
        <w:t>周边市场分析</w:t>
      </w:r>
    </w:p>
    <w:p w14:paraId="48012312">
      <w:pPr>
        <w:spacing w:line="300" w:lineRule="auto"/>
        <w:rPr>
          <w:rFonts w:hint="default" w:ascii="仿宋" w:hAnsi="仿宋" w:eastAsia="仿宋" w:cs="Times New Roman"/>
          <w:szCs w:val="21"/>
          <w:lang w:val="en-US" w:eastAsia="zh-CN"/>
        </w:rPr>
      </w:pPr>
      <w:r>
        <w:rPr>
          <w:rFonts w:hint="eastAsia" w:ascii="仿宋" w:hAnsi="仿宋" w:eastAsia="仿宋" w:cs="Times New Roman"/>
          <w:szCs w:val="21"/>
          <w:lang w:eastAsia="zh-CN"/>
        </w:rPr>
        <w:t>（</w:t>
      </w:r>
      <w:r>
        <w:rPr>
          <w:rFonts w:hint="eastAsia" w:ascii="仿宋" w:hAnsi="仿宋" w:eastAsia="仿宋" w:cs="Times New Roman"/>
          <w:szCs w:val="21"/>
          <w:lang w:val="en-US" w:eastAsia="zh-CN"/>
        </w:rPr>
        <w:t>四</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项目落位规划</w:t>
      </w:r>
    </w:p>
    <w:p w14:paraId="3E7FB3EA">
      <w:pPr>
        <w:spacing w:line="300" w:lineRule="auto"/>
        <w:rPr>
          <w:rFonts w:ascii="仿宋" w:hAnsi="仿宋" w:eastAsia="仿宋" w:cs="Times New Roman"/>
          <w:szCs w:val="21"/>
        </w:rPr>
      </w:pPr>
      <w:r>
        <w:rPr>
          <w:rFonts w:hint="eastAsia" w:ascii="仿宋" w:hAnsi="仿宋" w:eastAsia="仿宋" w:cs="Times New Roman"/>
          <w:szCs w:val="21"/>
        </w:rPr>
        <w:t>（</w:t>
      </w:r>
      <w:r>
        <w:rPr>
          <w:rFonts w:hint="eastAsia" w:ascii="仿宋" w:hAnsi="仿宋" w:eastAsia="仿宋" w:cs="Times New Roman"/>
          <w:szCs w:val="21"/>
          <w:lang w:val="en-US" w:eastAsia="zh-CN"/>
        </w:rPr>
        <w:t>五</w:t>
      </w:r>
      <w:r>
        <w:rPr>
          <w:rFonts w:hint="eastAsia" w:ascii="仿宋" w:hAnsi="仿宋" w:eastAsia="仿宋" w:cs="Times New Roman"/>
          <w:szCs w:val="21"/>
        </w:rPr>
        <w:t>）项目服务团队</w:t>
      </w:r>
    </w:p>
    <w:p w14:paraId="67541033">
      <w:pPr>
        <w:spacing w:line="300" w:lineRule="auto"/>
        <w:rPr>
          <w:rFonts w:ascii="仿宋" w:hAnsi="仿宋" w:eastAsia="仿宋" w:cs="Times New Roman"/>
          <w:szCs w:val="21"/>
        </w:rPr>
      </w:pPr>
    </w:p>
    <w:p w14:paraId="3A7C86E4">
      <w:pPr>
        <w:spacing w:line="300" w:lineRule="auto"/>
        <w:rPr>
          <w:rFonts w:ascii="仿宋" w:hAnsi="仿宋" w:eastAsia="仿宋" w:cs="Times New Roman"/>
          <w:szCs w:val="21"/>
        </w:rPr>
      </w:pPr>
    </w:p>
    <w:p w14:paraId="20789ACC">
      <w:pPr>
        <w:spacing w:line="300" w:lineRule="auto"/>
        <w:rPr>
          <w:rFonts w:ascii="仿宋" w:hAnsi="仿宋" w:eastAsia="仿宋" w:cs="Times New Roman"/>
          <w:szCs w:val="21"/>
        </w:rPr>
      </w:pPr>
    </w:p>
    <w:p w14:paraId="7CF838C2">
      <w:pPr>
        <w:spacing w:line="300" w:lineRule="auto"/>
        <w:rPr>
          <w:rFonts w:ascii="仿宋" w:hAnsi="仿宋" w:eastAsia="仿宋" w:cs="Times New Roman"/>
          <w:szCs w:val="21"/>
        </w:rPr>
      </w:pPr>
      <w:r>
        <w:rPr>
          <w:rFonts w:hint="eastAsia" w:ascii="仿宋" w:hAnsi="仿宋" w:eastAsia="仿宋" w:cs="Times New Roman"/>
          <w:szCs w:val="21"/>
        </w:rPr>
        <w:t>竞投人名称</w:t>
      </w:r>
      <w:r>
        <w:rPr>
          <w:rFonts w:ascii="仿宋" w:hAnsi="仿宋" w:eastAsia="仿宋" w:cs="Times New Roman"/>
          <w:szCs w:val="21"/>
        </w:rPr>
        <w:t>:</w:t>
      </w:r>
      <w:r>
        <w:rPr>
          <w:rFonts w:hint="eastAsia" w:ascii="仿宋" w:hAnsi="仿宋" w:eastAsia="仿宋" w:cs="Times New Roman"/>
          <w:szCs w:val="21"/>
        </w:rPr>
        <w:t xml:space="preserve"> </w:t>
      </w:r>
      <w:r>
        <w:rPr>
          <w:rFonts w:hint="eastAsia" w:ascii="仿宋" w:hAnsi="仿宋" w:eastAsia="仿宋" w:cs="Times New Roman"/>
          <w:szCs w:val="21"/>
          <w:u w:val="single"/>
        </w:rPr>
        <w:t xml:space="preserve">                     </w:t>
      </w:r>
      <w:r>
        <w:rPr>
          <w:rFonts w:hint="eastAsia" w:ascii="仿宋" w:hAnsi="仿宋" w:eastAsia="仿宋" w:cs="Times New Roman"/>
          <w:szCs w:val="21"/>
        </w:rPr>
        <w:t>（公章）</w:t>
      </w:r>
    </w:p>
    <w:p w14:paraId="5F75DF1B">
      <w:pPr>
        <w:spacing w:line="300" w:lineRule="auto"/>
        <w:rPr>
          <w:rFonts w:ascii="仿宋" w:hAnsi="仿宋" w:eastAsia="仿宋" w:cs="Times New Roman"/>
          <w:szCs w:val="21"/>
        </w:rPr>
      </w:pPr>
    </w:p>
    <w:p w14:paraId="623724AE">
      <w:pPr>
        <w:spacing w:line="300" w:lineRule="auto"/>
        <w:rPr>
          <w:rFonts w:ascii="仿宋" w:hAnsi="仿宋" w:eastAsia="仿宋" w:cs="Times New Roman"/>
          <w:szCs w:val="21"/>
          <w:u w:val="single"/>
        </w:rPr>
      </w:pPr>
      <w:r>
        <w:rPr>
          <w:rFonts w:hint="eastAsia" w:ascii="仿宋" w:hAnsi="仿宋" w:eastAsia="仿宋" w:cs="Times New Roman"/>
          <w:szCs w:val="21"/>
        </w:rPr>
        <w:t>竞投</w:t>
      </w:r>
      <w:r>
        <w:rPr>
          <w:rFonts w:hint="eastAsia" w:ascii="仿宋" w:hAnsi="仿宋" w:eastAsia="仿宋" w:cs="Times New Roman"/>
          <w:szCs w:val="24"/>
        </w:rPr>
        <w:t>人授权代表签字</w:t>
      </w:r>
      <w:r>
        <w:rPr>
          <w:rFonts w:hint="eastAsia" w:ascii="仿宋" w:hAnsi="仿宋" w:eastAsia="仿宋" w:cs="Times New Roman"/>
          <w:szCs w:val="21"/>
        </w:rPr>
        <w:t>（签名）：</w:t>
      </w:r>
      <w:r>
        <w:rPr>
          <w:rFonts w:hint="eastAsia" w:ascii="仿宋" w:hAnsi="仿宋" w:eastAsia="仿宋" w:cs="Times New Roman"/>
          <w:szCs w:val="21"/>
          <w:u w:val="single"/>
        </w:rPr>
        <w:t xml:space="preserve">               </w:t>
      </w:r>
    </w:p>
    <w:p w14:paraId="7050954E">
      <w:pPr>
        <w:spacing w:line="300" w:lineRule="auto"/>
        <w:rPr>
          <w:rFonts w:ascii="仿宋" w:hAnsi="仿宋" w:eastAsia="仿宋" w:cs="Times New Roman"/>
          <w:szCs w:val="21"/>
          <w:u w:val="single"/>
        </w:rPr>
      </w:pPr>
    </w:p>
    <w:p w14:paraId="76276F24">
      <w:pPr>
        <w:spacing w:line="300" w:lineRule="auto"/>
        <w:rPr>
          <w:rFonts w:ascii="仿宋" w:hAnsi="仿宋" w:eastAsia="仿宋" w:cs="Times New Roman"/>
          <w:b/>
          <w:sz w:val="10"/>
          <w:szCs w:val="24"/>
        </w:rPr>
      </w:pPr>
      <w:r>
        <w:rPr>
          <w:rFonts w:hint="eastAsia" w:ascii="仿宋" w:hAnsi="仿宋" w:eastAsia="仿宋" w:cs="Times New Roman"/>
          <w:szCs w:val="21"/>
        </w:rPr>
        <w:t>日期：  年   月   日</w:t>
      </w:r>
    </w:p>
    <w:p w14:paraId="5A69B190">
      <w:pPr>
        <w:spacing w:line="400" w:lineRule="exact"/>
        <w:rPr>
          <w:rFonts w:ascii="宋体" w:hAnsi="宋体" w:eastAsia="宋体" w:cs="Times New Roman"/>
          <w:szCs w:val="21"/>
          <w:u w:val="single"/>
        </w:rPr>
      </w:pPr>
    </w:p>
    <w:p w14:paraId="51ADEA66">
      <w:pPr>
        <w:adjustRightInd w:val="0"/>
        <w:snapToGrid w:val="0"/>
        <w:rPr>
          <w:rFonts w:ascii="仿宋" w:hAnsi="仿宋" w:eastAsia="仿宋" w:cs="仿宋"/>
          <w:sz w:val="32"/>
          <w:szCs w:val="32"/>
        </w:rPr>
      </w:pPr>
    </w:p>
    <w:p w14:paraId="5E22770B">
      <w:pPr>
        <w:adjustRightInd w:val="0"/>
        <w:snapToGrid w:val="0"/>
        <w:rPr>
          <w:rFonts w:ascii="仿宋" w:hAnsi="仿宋" w:eastAsia="仿宋" w:cs="仿宋"/>
          <w:sz w:val="32"/>
          <w:szCs w:val="32"/>
        </w:rPr>
      </w:pPr>
    </w:p>
    <w:p w14:paraId="68E10313">
      <w:pPr>
        <w:adjustRightInd w:val="0"/>
        <w:snapToGrid w:val="0"/>
        <w:rPr>
          <w:rFonts w:ascii="仿宋" w:hAnsi="仿宋" w:eastAsia="仿宋" w:cs="仿宋"/>
          <w:sz w:val="32"/>
          <w:szCs w:val="32"/>
        </w:rPr>
      </w:pPr>
    </w:p>
    <w:p w14:paraId="61521ADF">
      <w:pPr>
        <w:adjustRightInd w:val="0"/>
        <w:snapToGrid w:val="0"/>
        <w:rPr>
          <w:rFonts w:ascii="仿宋" w:hAnsi="仿宋" w:eastAsia="仿宋" w:cs="仿宋"/>
          <w:sz w:val="32"/>
          <w:szCs w:val="32"/>
        </w:rPr>
      </w:pPr>
    </w:p>
    <w:p w14:paraId="21489B07">
      <w:pPr>
        <w:adjustRightInd w:val="0"/>
        <w:snapToGrid w:val="0"/>
        <w:rPr>
          <w:rFonts w:ascii="仿宋" w:hAnsi="仿宋" w:eastAsia="仿宋" w:cs="仿宋"/>
          <w:sz w:val="32"/>
          <w:szCs w:val="32"/>
        </w:rPr>
      </w:pPr>
    </w:p>
    <w:p w14:paraId="68C34D46">
      <w:pPr>
        <w:adjustRightInd w:val="0"/>
        <w:snapToGrid w:val="0"/>
        <w:spacing w:line="600" w:lineRule="exact"/>
        <w:jc w:val="center"/>
        <w:rPr>
          <w:rFonts w:ascii="宋体" w:hAnsi="宋体" w:eastAsia="宋体" w:cs="仿宋"/>
          <w:b/>
          <w:sz w:val="36"/>
          <w:szCs w:val="36"/>
        </w:rPr>
      </w:pPr>
    </w:p>
    <w:p w14:paraId="3DD30DC2">
      <w:pPr>
        <w:rPr>
          <w:rFonts w:ascii="Calibri" w:hAnsi="Calibri" w:eastAsia="宋体"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D0C8">
    <w:pPr>
      <w:pStyle w:val="4"/>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B39E4">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8E5A9">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C44E2">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E8A27">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25E76">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F5D8A"/>
    <w:multiLevelType w:val="multilevel"/>
    <w:tmpl w:val="1EAF5D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AD1FED"/>
    <w:multiLevelType w:val="singleLevel"/>
    <w:tmpl w:val="38AD1FED"/>
    <w:lvl w:ilvl="0" w:tentative="0">
      <w:start w:val="1"/>
      <w:numFmt w:val="decimal"/>
      <w:suff w:val="nothing"/>
      <w:lvlText w:val="（%1）"/>
      <w:lvlJc w:val="left"/>
    </w:lvl>
  </w:abstractNum>
  <w:abstractNum w:abstractNumId="2">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3">
    <w:nsid w:val="5D65425F"/>
    <w:multiLevelType w:val="multilevel"/>
    <w:tmpl w:val="5D65425F"/>
    <w:lvl w:ilvl="0" w:tentative="0">
      <w:start w:val="1"/>
      <w:numFmt w:val="decimal"/>
      <w:lvlText w:val="1.%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5F9DCBC6"/>
    <w:multiLevelType w:val="singleLevel"/>
    <w:tmpl w:val="5F9DCBC6"/>
    <w:lvl w:ilvl="0" w:tentative="0">
      <w:start w:val="14"/>
      <w:numFmt w:val="chineseCounting"/>
      <w:suff w:val="nothing"/>
      <w:lvlText w:val="第%1条、"/>
      <w:lvlJc w:val="left"/>
      <w:rPr>
        <w:rFonts w:hint="eastAsia"/>
      </w:rPr>
    </w:lvl>
  </w:abstractNum>
  <w:abstractNum w:abstractNumId="5">
    <w:nsid w:val="620115C1"/>
    <w:multiLevelType w:val="singleLevel"/>
    <w:tmpl w:val="620115C1"/>
    <w:lvl w:ilvl="0" w:tentative="0">
      <w:start w:val="1"/>
      <w:numFmt w:val="chineseCounting"/>
      <w:suff w:val="nothing"/>
      <w:lvlText w:val="%1、"/>
      <w:lvlJc w:val="left"/>
      <w:rPr>
        <w:rFonts w:hint="eastAsia"/>
      </w:rPr>
    </w:lvl>
  </w:abstractNum>
  <w:abstractNum w:abstractNumId="6">
    <w:nsid w:val="6BEC0C82"/>
    <w:multiLevelType w:val="multilevel"/>
    <w:tmpl w:val="6BEC0C82"/>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6"/>
  </w:num>
  <w:num w:numId="3">
    <w:abstractNumId w:val="1"/>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WZjZGZiNGFlOTQ0ZWJmMDk3NjE0ODVlYmYxMzEifQ=="/>
  </w:docVars>
  <w:rsids>
    <w:rsidRoot w:val="004B0266"/>
    <w:rsid w:val="000474CE"/>
    <w:rsid w:val="0005225C"/>
    <w:rsid w:val="00054D4A"/>
    <w:rsid w:val="00071127"/>
    <w:rsid w:val="00072B8B"/>
    <w:rsid w:val="00075AC8"/>
    <w:rsid w:val="00090B64"/>
    <w:rsid w:val="00092F23"/>
    <w:rsid w:val="000C284D"/>
    <w:rsid w:val="000C2BA8"/>
    <w:rsid w:val="000E59B3"/>
    <w:rsid w:val="00105989"/>
    <w:rsid w:val="001063F6"/>
    <w:rsid w:val="00176C5E"/>
    <w:rsid w:val="001B2730"/>
    <w:rsid w:val="001C369B"/>
    <w:rsid w:val="00212CA8"/>
    <w:rsid w:val="00226F09"/>
    <w:rsid w:val="00232DA4"/>
    <w:rsid w:val="002D034C"/>
    <w:rsid w:val="002F6C1C"/>
    <w:rsid w:val="00353A6F"/>
    <w:rsid w:val="003A489D"/>
    <w:rsid w:val="003E13E6"/>
    <w:rsid w:val="0040677F"/>
    <w:rsid w:val="00423BC7"/>
    <w:rsid w:val="00430A5B"/>
    <w:rsid w:val="0046262C"/>
    <w:rsid w:val="0048686B"/>
    <w:rsid w:val="004B0266"/>
    <w:rsid w:val="004C66F4"/>
    <w:rsid w:val="00537C75"/>
    <w:rsid w:val="005420EE"/>
    <w:rsid w:val="00561560"/>
    <w:rsid w:val="00575972"/>
    <w:rsid w:val="00585427"/>
    <w:rsid w:val="005B1397"/>
    <w:rsid w:val="005B68BD"/>
    <w:rsid w:val="005C3FC1"/>
    <w:rsid w:val="005D6B2C"/>
    <w:rsid w:val="005E199C"/>
    <w:rsid w:val="005E6438"/>
    <w:rsid w:val="00600FB1"/>
    <w:rsid w:val="00643837"/>
    <w:rsid w:val="0069217A"/>
    <w:rsid w:val="006D3C33"/>
    <w:rsid w:val="007510F5"/>
    <w:rsid w:val="00753470"/>
    <w:rsid w:val="00795FE4"/>
    <w:rsid w:val="007C795D"/>
    <w:rsid w:val="007D16FF"/>
    <w:rsid w:val="00826882"/>
    <w:rsid w:val="00887454"/>
    <w:rsid w:val="0091645A"/>
    <w:rsid w:val="00920A74"/>
    <w:rsid w:val="00A11584"/>
    <w:rsid w:val="00A50BE9"/>
    <w:rsid w:val="00A82AEC"/>
    <w:rsid w:val="00A9270A"/>
    <w:rsid w:val="00AA03D4"/>
    <w:rsid w:val="00AC61BE"/>
    <w:rsid w:val="00AD19E6"/>
    <w:rsid w:val="00AD3E34"/>
    <w:rsid w:val="00B30B93"/>
    <w:rsid w:val="00B31EC6"/>
    <w:rsid w:val="00B508A7"/>
    <w:rsid w:val="00B639AE"/>
    <w:rsid w:val="00BB0BD3"/>
    <w:rsid w:val="00C069A9"/>
    <w:rsid w:val="00C26D52"/>
    <w:rsid w:val="00CC1C6A"/>
    <w:rsid w:val="00CC386F"/>
    <w:rsid w:val="00D36770"/>
    <w:rsid w:val="00D60607"/>
    <w:rsid w:val="00E664FD"/>
    <w:rsid w:val="00EB7F43"/>
    <w:rsid w:val="00EC10C3"/>
    <w:rsid w:val="00EC5DE1"/>
    <w:rsid w:val="00F0213D"/>
    <w:rsid w:val="00F27015"/>
    <w:rsid w:val="00F3070E"/>
    <w:rsid w:val="00F4543B"/>
    <w:rsid w:val="00F510BF"/>
    <w:rsid w:val="00FA27FB"/>
    <w:rsid w:val="00FB10B8"/>
    <w:rsid w:val="00FF5CFB"/>
    <w:rsid w:val="02F112FE"/>
    <w:rsid w:val="051A32F4"/>
    <w:rsid w:val="06DD3837"/>
    <w:rsid w:val="07616CE3"/>
    <w:rsid w:val="0BEA0362"/>
    <w:rsid w:val="0CC54B85"/>
    <w:rsid w:val="0CDA5969"/>
    <w:rsid w:val="0D6C609B"/>
    <w:rsid w:val="0EA915DA"/>
    <w:rsid w:val="0F9F3B9F"/>
    <w:rsid w:val="102D3526"/>
    <w:rsid w:val="17001131"/>
    <w:rsid w:val="1A2C5DA2"/>
    <w:rsid w:val="1C091BDF"/>
    <w:rsid w:val="1C360E8F"/>
    <w:rsid w:val="21BF6877"/>
    <w:rsid w:val="232E6EC3"/>
    <w:rsid w:val="256C5817"/>
    <w:rsid w:val="25B120C1"/>
    <w:rsid w:val="25BE3CA0"/>
    <w:rsid w:val="25E84DC8"/>
    <w:rsid w:val="262922CC"/>
    <w:rsid w:val="282F2935"/>
    <w:rsid w:val="28B153F6"/>
    <w:rsid w:val="291B3AC5"/>
    <w:rsid w:val="2A9F153F"/>
    <w:rsid w:val="2CCA1365"/>
    <w:rsid w:val="2D873E14"/>
    <w:rsid w:val="2DA004CD"/>
    <w:rsid w:val="32165BAA"/>
    <w:rsid w:val="325151F2"/>
    <w:rsid w:val="36495606"/>
    <w:rsid w:val="37390197"/>
    <w:rsid w:val="390D08A6"/>
    <w:rsid w:val="395F28FE"/>
    <w:rsid w:val="3BBD597A"/>
    <w:rsid w:val="3C7A6FCA"/>
    <w:rsid w:val="3E9400F5"/>
    <w:rsid w:val="3F6F548D"/>
    <w:rsid w:val="3FF91C51"/>
    <w:rsid w:val="41D426C5"/>
    <w:rsid w:val="42F022FE"/>
    <w:rsid w:val="43093278"/>
    <w:rsid w:val="445621F6"/>
    <w:rsid w:val="46006AB7"/>
    <w:rsid w:val="49C050AE"/>
    <w:rsid w:val="4A4213E1"/>
    <w:rsid w:val="4BEE4C27"/>
    <w:rsid w:val="4C41689C"/>
    <w:rsid w:val="4C856040"/>
    <w:rsid w:val="4F575F9B"/>
    <w:rsid w:val="4F813EE0"/>
    <w:rsid w:val="4FBA61C8"/>
    <w:rsid w:val="52BC0B2D"/>
    <w:rsid w:val="532C53CA"/>
    <w:rsid w:val="53A91585"/>
    <w:rsid w:val="552705DC"/>
    <w:rsid w:val="559E4D4B"/>
    <w:rsid w:val="57FA1292"/>
    <w:rsid w:val="5A327747"/>
    <w:rsid w:val="5C154191"/>
    <w:rsid w:val="5C6B75B7"/>
    <w:rsid w:val="5D1328DC"/>
    <w:rsid w:val="5D193A39"/>
    <w:rsid w:val="5E0B7843"/>
    <w:rsid w:val="5EEB573C"/>
    <w:rsid w:val="622D62F7"/>
    <w:rsid w:val="62C7688D"/>
    <w:rsid w:val="646B61B6"/>
    <w:rsid w:val="6F6315DA"/>
    <w:rsid w:val="6FC4797A"/>
    <w:rsid w:val="70063FF7"/>
    <w:rsid w:val="707065AF"/>
    <w:rsid w:val="711B488C"/>
    <w:rsid w:val="73677D09"/>
    <w:rsid w:val="74985085"/>
    <w:rsid w:val="79B9046D"/>
    <w:rsid w:val="79F54476"/>
    <w:rsid w:val="7F4E1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00" w:lineRule="auto"/>
      <w:ind w:left="720"/>
    </w:pPr>
    <w:rPr>
      <w:kern w:val="0"/>
      <w:sz w:val="24"/>
    </w:rPr>
  </w:style>
  <w:style w:type="paragraph" w:styleId="3">
    <w:name w:val="Balloon Text"/>
    <w:basedOn w:val="1"/>
    <w:link w:val="15"/>
    <w:semiHidden/>
    <w:unhideWhenUsed/>
    <w:qFormat/>
    <w:uiPriority w:val="99"/>
    <w:rPr>
      <w:rFonts w:ascii="Times New Roman" w:hAnsi="Times New Roman" w:eastAsia="宋体" w:cs="Times New Roman"/>
      <w:sz w:val="18"/>
      <w:szCs w:val="18"/>
    </w:rPr>
  </w:style>
  <w:style w:type="paragraph" w:styleId="4">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character" w:styleId="8">
    <w:name w:val="page number"/>
    <w:basedOn w:val="7"/>
    <w:qFormat/>
    <w:uiPriority w:val="0"/>
  </w:style>
  <w:style w:type="character" w:customStyle="1" w:styleId="9">
    <w:name w:val="页眉 字符"/>
    <w:basedOn w:val="7"/>
    <w:link w:val="5"/>
    <w:qFormat/>
    <w:uiPriority w:val="0"/>
    <w:rPr>
      <w:rFonts w:ascii="Times New Roman" w:hAnsi="Times New Roman" w:eastAsia="宋体" w:cs="Times New Roman"/>
      <w:sz w:val="18"/>
      <w:szCs w:val="20"/>
    </w:rPr>
  </w:style>
  <w:style w:type="character" w:customStyle="1" w:styleId="10">
    <w:name w:val="页脚 字符"/>
    <w:basedOn w:val="7"/>
    <w:link w:val="4"/>
    <w:qFormat/>
    <w:uiPriority w:val="99"/>
    <w:rPr>
      <w:rFonts w:ascii="Times New Roman" w:hAnsi="Times New Roman" w:eastAsia="宋体" w:cs="Times New Roman"/>
      <w:sz w:val="18"/>
      <w:szCs w:val="18"/>
    </w:rPr>
  </w:style>
  <w:style w:type="paragraph" w:customStyle="1" w:styleId="11">
    <w:name w:val="列出段落1"/>
    <w:basedOn w:val="1"/>
    <w:qFormat/>
    <w:uiPriority w:val="34"/>
    <w:pPr>
      <w:ind w:firstLine="420" w:firstLineChars="200"/>
    </w:pPr>
    <w:rPr>
      <w:rFonts w:ascii="Times New Roman" w:hAnsi="Times New Roman" w:eastAsia="宋体" w:cs="Times New Roman"/>
      <w:szCs w:val="24"/>
    </w:rPr>
  </w:style>
  <w:style w:type="character" w:customStyle="1" w:styleId="12">
    <w:name w:val="font61"/>
    <w:qFormat/>
    <w:uiPriority w:val="0"/>
    <w:rPr>
      <w:rFonts w:hint="eastAsia" w:ascii="微软雅黑" w:hAnsi="微软雅黑" w:eastAsia="微软雅黑" w:cs="微软雅黑"/>
      <w:b/>
      <w:color w:val="000000"/>
      <w:sz w:val="20"/>
      <w:szCs w:val="20"/>
      <w:u w:val="none"/>
    </w:rPr>
  </w:style>
  <w:style w:type="character" w:customStyle="1" w:styleId="13">
    <w:name w:val="font21"/>
    <w:qFormat/>
    <w:uiPriority w:val="0"/>
    <w:rPr>
      <w:rFonts w:hint="eastAsia" w:ascii="微软雅黑" w:hAnsi="微软雅黑" w:eastAsia="微软雅黑" w:cs="微软雅黑"/>
      <w:b/>
      <w:color w:val="000000"/>
      <w:sz w:val="24"/>
      <w:szCs w:val="24"/>
      <w:u w:val="none"/>
    </w:rPr>
  </w:style>
  <w:style w:type="character" w:customStyle="1" w:styleId="14">
    <w:name w:val="font121"/>
    <w:qFormat/>
    <w:uiPriority w:val="0"/>
    <w:rPr>
      <w:rFonts w:hint="eastAsia" w:ascii="微软雅黑" w:hAnsi="微软雅黑" w:eastAsia="微软雅黑" w:cs="微软雅黑"/>
      <w:b/>
      <w:color w:val="000000"/>
      <w:sz w:val="20"/>
      <w:szCs w:val="20"/>
      <w:u w:val="none"/>
    </w:rPr>
  </w:style>
  <w:style w:type="character" w:customStyle="1" w:styleId="15">
    <w:name w:val="批注框文本 字符"/>
    <w:basedOn w:val="7"/>
    <w:link w:val="3"/>
    <w:semiHidden/>
    <w:qFormat/>
    <w:uiPriority w:val="99"/>
    <w:rPr>
      <w:rFonts w:ascii="Times New Roman" w:hAnsi="Times New Roman" w:eastAsia="宋体" w:cs="Times New Roman"/>
      <w:sz w:val="18"/>
      <w:szCs w:val="18"/>
    </w:rPr>
  </w:style>
  <w:style w:type="paragraph" w:styleId="16">
    <w:name w:val="List Paragraph"/>
    <w:basedOn w:val="1"/>
    <w:qFormat/>
    <w:uiPriority w:val="34"/>
    <w:pPr>
      <w:widowControl/>
      <w:ind w:firstLine="420" w:firstLineChars="200"/>
      <w:jc w:val="left"/>
    </w:pPr>
    <w:rPr>
      <w:rFonts w:ascii="宋体" w:hAnsi="宋体" w:cs="宋体"/>
      <w:kern w:val="0"/>
      <w:sz w:val="24"/>
    </w:rPr>
  </w:style>
  <w:style w:type="character" w:customStyle="1" w:styleId="17">
    <w:name w:val="font01"/>
    <w:qFormat/>
    <w:uiPriority w:val="0"/>
    <w:rPr>
      <w:rFonts w:hint="eastAsia" w:ascii="微软雅黑" w:hAnsi="微软雅黑" w:eastAsia="微软雅黑" w:cs="微软雅黑"/>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12650</Words>
  <Characters>13037</Characters>
  <Lines>87</Lines>
  <Paragraphs>24</Paragraphs>
  <TotalTime>0</TotalTime>
  <ScaleCrop>false</ScaleCrop>
  <LinksUpToDate>false</LinksUpToDate>
  <CharactersWithSpaces>14084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2020-03-19T08:59:00Z</dcterms:created>
  <dc:creator>王晓斌</dc:creator>
  <cp:lastModifiedBy>陈伟钊</cp:lastModifiedBy>
  <cp:lastPrinted>2022-08-08T09:02:00Z</cp:lastPrinted>
  <dcterms:modified xsi:type="dcterms:W3CDTF">2025-01-17T02:28:52Z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47DBF401DEA14C0C96E4048440F34881</vt:lpwstr>
  </property>
  <property fmtid="{D5CDD505-2E9C-101B-9397-08002B2CF9AE}" pid="4" name="KSOTemplateDocerSaveRecord">
    <vt:lpwstr>eyJoZGlkIjoiNjhlNWZjZGZiNGFlOTQ0ZWJmMDk3NjE0ODVlYmYxMzEiLCJ1c2VySWQiOiIxMTIzNjQ2NTc3In0=</vt:lpwstr>
  </property>
</Properties>
</file>